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92" w:rsidRPr="00123A9C" w:rsidRDefault="00720192" w:rsidP="00720192">
      <w:pPr>
        <w:rPr>
          <w:rFonts w:ascii="Arial" w:hAnsi="Arial" w:cs="Arial"/>
          <w:b/>
          <w:sz w:val="32"/>
          <w:szCs w:val="32"/>
        </w:rPr>
      </w:pPr>
      <w:r w:rsidRPr="00123A9C">
        <w:rPr>
          <w:rFonts w:ascii="Arial" w:hAnsi="Arial" w:cs="Arial"/>
          <w:b/>
          <w:sz w:val="32"/>
          <w:szCs w:val="32"/>
        </w:rPr>
        <w:t>FOG - EQUIPMENT SOLUTIONS</w:t>
      </w:r>
    </w:p>
    <w:p w:rsidR="007E1ABB" w:rsidRDefault="007E1ABB" w:rsidP="00720192">
      <w:pPr>
        <w:rPr>
          <w:rFonts w:ascii="Arial" w:hAnsi="Arial" w:cs="Arial"/>
          <w:sz w:val="24"/>
          <w:szCs w:val="24"/>
        </w:rPr>
      </w:pPr>
    </w:p>
    <w:p w:rsidR="00720192" w:rsidRPr="00123A9C" w:rsidRDefault="00720192" w:rsidP="00720192">
      <w:pPr>
        <w:rPr>
          <w:rFonts w:ascii="Arial" w:hAnsi="Arial" w:cs="Arial"/>
          <w:sz w:val="24"/>
          <w:szCs w:val="24"/>
        </w:rPr>
      </w:pPr>
      <w:bookmarkStart w:id="0" w:name="_GoBack"/>
      <w:bookmarkEnd w:id="0"/>
      <w:r w:rsidRPr="00123A9C">
        <w:rPr>
          <w:rFonts w:ascii="Arial" w:hAnsi="Arial" w:cs="Arial"/>
          <w:sz w:val="24"/>
          <w:szCs w:val="24"/>
        </w:rPr>
        <w:t>Many specialists</w:t>
      </w:r>
      <w:r w:rsidR="00123A9C">
        <w:rPr>
          <w:rFonts w:ascii="Arial" w:hAnsi="Arial" w:cs="Arial"/>
          <w:sz w:val="24"/>
          <w:szCs w:val="24"/>
        </w:rPr>
        <w:t>’</w:t>
      </w:r>
      <w:r w:rsidRPr="00123A9C">
        <w:rPr>
          <w:rFonts w:ascii="Arial" w:hAnsi="Arial" w:cs="Arial"/>
          <w:sz w:val="24"/>
          <w:szCs w:val="24"/>
        </w:rPr>
        <w:t xml:space="preserve"> advise that the most effective approach is a combined assault on FOG, which uses both dosing systems and grease separators.</w:t>
      </w:r>
    </w:p>
    <w:p w:rsidR="00720192" w:rsidRPr="00123A9C" w:rsidRDefault="00720192" w:rsidP="00720192">
      <w:pPr>
        <w:rPr>
          <w:rFonts w:ascii="Arial" w:hAnsi="Arial" w:cs="Arial"/>
          <w:sz w:val="24"/>
          <w:szCs w:val="24"/>
        </w:rPr>
      </w:pPr>
      <w:r w:rsidRPr="00123A9C">
        <w:rPr>
          <w:rFonts w:ascii="Arial" w:hAnsi="Arial" w:cs="Arial"/>
          <w:sz w:val="24"/>
          <w:szCs w:val="24"/>
        </w:rPr>
        <w:t>Here are the equipment types that will assist in reducing FOG entering internal drains and the sewer:</w:t>
      </w:r>
    </w:p>
    <w:p w:rsidR="00720192" w:rsidRPr="00123A9C" w:rsidRDefault="00720192" w:rsidP="00720192">
      <w:pPr>
        <w:rPr>
          <w:rFonts w:ascii="Arial" w:hAnsi="Arial" w:cs="Arial"/>
          <w:sz w:val="24"/>
          <w:szCs w:val="24"/>
        </w:rPr>
      </w:pPr>
    </w:p>
    <w:p w:rsidR="00720192" w:rsidRPr="00123A9C" w:rsidRDefault="00720192" w:rsidP="00720192">
      <w:pPr>
        <w:rPr>
          <w:rFonts w:ascii="Arial" w:hAnsi="Arial" w:cs="Arial"/>
          <w:b/>
          <w:sz w:val="24"/>
          <w:szCs w:val="24"/>
        </w:rPr>
      </w:pPr>
      <w:r w:rsidRPr="00123A9C">
        <w:rPr>
          <w:rFonts w:ascii="Arial" w:hAnsi="Arial" w:cs="Arial"/>
          <w:b/>
          <w:sz w:val="24"/>
          <w:szCs w:val="24"/>
        </w:rPr>
        <w:t>GREASE SEPARATORS (GREASE TRAPS)</w:t>
      </w:r>
    </w:p>
    <w:p w:rsidR="00720192" w:rsidRPr="00123A9C" w:rsidRDefault="00720192" w:rsidP="00720192">
      <w:pPr>
        <w:rPr>
          <w:rFonts w:ascii="Arial" w:hAnsi="Arial" w:cs="Arial"/>
          <w:sz w:val="24"/>
          <w:szCs w:val="24"/>
        </w:rPr>
      </w:pPr>
      <w:r w:rsidRPr="00123A9C">
        <w:rPr>
          <w:rFonts w:ascii="Arial" w:hAnsi="Arial" w:cs="Arial"/>
          <w:sz w:val="24"/>
          <w:szCs w:val="24"/>
        </w:rPr>
        <w:t xml:space="preserve">All separators basically work by slowing down the flow of water coming out of a foodservice operation or discharged from an appliance. FOG is less dense than water, and so naturally floats on the surface of the water within the separator unit. </w:t>
      </w:r>
    </w:p>
    <w:p w:rsidR="00720192" w:rsidRPr="00123A9C" w:rsidRDefault="00720192" w:rsidP="00720192">
      <w:pPr>
        <w:rPr>
          <w:rFonts w:ascii="Arial" w:hAnsi="Arial" w:cs="Arial"/>
          <w:sz w:val="24"/>
          <w:szCs w:val="24"/>
        </w:rPr>
      </w:pPr>
      <w:r w:rsidRPr="00123A9C">
        <w:rPr>
          <w:rFonts w:ascii="Arial" w:hAnsi="Arial" w:cs="Arial"/>
          <w:sz w:val="24"/>
          <w:szCs w:val="24"/>
        </w:rPr>
        <w:t>Separators now include maintenance facilities that entirely automate the disposal, cleaning and refill cycle.</w:t>
      </w:r>
    </w:p>
    <w:p w:rsidR="00720192" w:rsidRPr="00123A9C" w:rsidRDefault="00720192" w:rsidP="00720192">
      <w:pPr>
        <w:rPr>
          <w:rFonts w:ascii="Arial" w:hAnsi="Arial" w:cs="Arial"/>
          <w:sz w:val="24"/>
          <w:szCs w:val="24"/>
        </w:rPr>
      </w:pPr>
      <w:r w:rsidRPr="00123A9C">
        <w:rPr>
          <w:rFonts w:ascii="Arial" w:hAnsi="Arial" w:cs="Arial"/>
          <w:sz w:val="24"/>
          <w:szCs w:val="24"/>
        </w:rPr>
        <w:t xml:space="preserve">Efficiency is dependent on the correct sizing/volume capacity and location of the grease separator system, temperature of discharge and detergent levels. </w:t>
      </w:r>
    </w:p>
    <w:p w:rsidR="00720192" w:rsidRPr="00123A9C" w:rsidRDefault="00720192" w:rsidP="00720192">
      <w:pPr>
        <w:rPr>
          <w:rFonts w:ascii="Arial" w:hAnsi="Arial" w:cs="Arial"/>
          <w:sz w:val="24"/>
          <w:szCs w:val="24"/>
        </w:rPr>
      </w:pPr>
      <w:r w:rsidRPr="00123A9C">
        <w:rPr>
          <w:rFonts w:ascii="Arial" w:hAnsi="Arial" w:cs="Arial"/>
          <w:sz w:val="24"/>
          <w:szCs w:val="24"/>
        </w:rPr>
        <w:t>Specialist advice should be sought to advise on the correct sizing and location to suit wastewater discharge volumes and types.</w:t>
      </w:r>
    </w:p>
    <w:p w:rsidR="00720192" w:rsidRPr="00123A9C" w:rsidRDefault="00720192" w:rsidP="00720192">
      <w:pPr>
        <w:rPr>
          <w:rFonts w:ascii="Arial" w:hAnsi="Arial" w:cs="Arial"/>
          <w:sz w:val="24"/>
          <w:szCs w:val="24"/>
        </w:rPr>
      </w:pPr>
    </w:p>
    <w:p w:rsidR="00720192" w:rsidRPr="00123A9C" w:rsidRDefault="00720192" w:rsidP="00720192">
      <w:pPr>
        <w:rPr>
          <w:rFonts w:ascii="Arial" w:hAnsi="Arial" w:cs="Arial"/>
          <w:b/>
          <w:sz w:val="24"/>
          <w:szCs w:val="24"/>
        </w:rPr>
      </w:pPr>
      <w:r w:rsidRPr="00123A9C">
        <w:rPr>
          <w:rFonts w:ascii="Arial" w:hAnsi="Arial" w:cs="Arial"/>
          <w:b/>
          <w:sz w:val="24"/>
          <w:szCs w:val="24"/>
        </w:rPr>
        <w:t>GREASE REMOVAL UNITS (GRU)</w:t>
      </w:r>
    </w:p>
    <w:p w:rsidR="00720192" w:rsidRPr="00123A9C" w:rsidRDefault="00720192" w:rsidP="00720192">
      <w:pPr>
        <w:rPr>
          <w:rFonts w:ascii="Arial" w:hAnsi="Arial" w:cs="Arial"/>
          <w:sz w:val="24"/>
          <w:szCs w:val="24"/>
        </w:rPr>
      </w:pPr>
      <w:r w:rsidRPr="00123A9C">
        <w:rPr>
          <w:rFonts w:ascii="Arial" w:hAnsi="Arial" w:cs="Arial"/>
          <w:sz w:val="24"/>
          <w:szCs w:val="24"/>
        </w:rPr>
        <w:t xml:space="preserve">A GRU or Grease Removal Unit is a self-emptying grease separator, automatically discharging the FOG content of the separator into an external container for manual disposal, </w:t>
      </w:r>
    </w:p>
    <w:p w:rsidR="00720192" w:rsidRPr="00123A9C" w:rsidRDefault="00720192" w:rsidP="00720192">
      <w:pPr>
        <w:rPr>
          <w:rFonts w:ascii="Arial" w:hAnsi="Arial" w:cs="Arial"/>
          <w:sz w:val="24"/>
          <w:szCs w:val="24"/>
        </w:rPr>
      </w:pPr>
      <w:r w:rsidRPr="00123A9C">
        <w:rPr>
          <w:rFonts w:ascii="Arial" w:hAnsi="Arial" w:cs="Arial"/>
          <w:sz w:val="24"/>
          <w:szCs w:val="24"/>
        </w:rPr>
        <w:t>There needs to be provision for safe, secure and hygienic storage of collected FOG and food solids, away from the kitchen area.</w:t>
      </w:r>
    </w:p>
    <w:p w:rsidR="00720192" w:rsidRPr="00123A9C" w:rsidRDefault="00720192" w:rsidP="00720192">
      <w:pPr>
        <w:rPr>
          <w:rFonts w:ascii="Arial" w:hAnsi="Arial" w:cs="Arial"/>
          <w:sz w:val="24"/>
          <w:szCs w:val="24"/>
        </w:rPr>
      </w:pPr>
      <w:r w:rsidRPr="00123A9C">
        <w:rPr>
          <w:rFonts w:ascii="Arial" w:hAnsi="Arial" w:cs="Arial"/>
          <w:sz w:val="24"/>
          <w:szCs w:val="24"/>
        </w:rPr>
        <w:t xml:space="preserve">Consideration will also need to be given to the electrical and mechanical requirements of some GRUs for installation purposes and also for the subsequent maintenance requirements. </w:t>
      </w:r>
    </w:p>
    <w:p w:rsidR="00720192" w:rsidRPr="00123A9C" w:rsidRDefault="00720192" w:rsidP="00720192">
      <w:pPr>
        <w:rPr>
          <w:rFonts w:ascii="Arial" w:hAnsi="Arial" w:cs="Arial"/>
          <w:sz w:val="24"/>
          <w:szCs w:val="24"/>
        </w:rPr>
      </w:pPr>
      <w:r w:rsidRPr="00123A9C">
        <w:rPr>
          <w:rFonts w:ascii="Arial" w:hAnsi="Arial" w:cs="Arial"/>
          <w:sz w:val="24"/>
          <w:szCs w:val="24"/>
        </w:rPr>
        <w:t>Specialist advice from the installer or manufacturer should be sought on the correct sizing and location of a GRU.</w:t>
      </w:r>
    </w:p>
    <w:p w:rsidR="00720192" w:rsidRPr="00123A9C" w:rsidRDefault="00720192" w:rsidP="00720192">
      <w:pPr>
        <w:rPr>
          <w:rFonts w:ascii="Arial" w:hAnsi="Arial" w:cs="Arial"/>
          <w:sz w:val="24"/>
          <w:szCs w:val="24"/>
        </w:rPr>
      </w:pPr>
    </w:p>
    <w:p w:rsidR="00720192" w:rsidRPr="00123A9C" w:rsidRDefault="00720192" w:rsidP="00720192">
      <w:pPr>
        <w:rPr>
          <w:rFonts w:ascii="Arial" w:hAnsi="Arial" w:cs="Arial"/>
          <w:b/>
          <w:sz w:val="24"/>
          <w:szCs w:val="24"/>
        </w:rPr>
      </w:pPr>
      <w:r w:rsidRPr="00123A9C">
        <w:rPr>
          <w:rFonts w:ascii="Arial" w:hAnsi="Arial" w:cs="Arial"/>
          <w:b/>
          <w:sz w:val="24"/>
          <w:szCs w:val="24"/>
        </w:rPr>
        <w:t>BIOLOGICAL / BACTERIA BASED DOSING SYSTEMS</w:t>
      </w:r>
    </w:p>
    <w:p w:rsidR="00720192" w:rsidRPr="00123A9C" w:rsidRDefault="00720192" w:rsidP="00720192">
      <w:pPr>
        <w:rPr>
          <w:rFonts w:ascii="Arial" w:hAnsi="Arial" w:cs="Arial"/>
          <w:sz w:val="24"/>
          <w:szCs w:val="24"/>
        </w:rPr>
      </w:pPr>
      <w:r w:rsidRPr="00123A9C">
        <w:rPr>
          <w:rFonts w:ascii="Arial" w:hAnsi="Arial" w:cs="Arial"/>
          <w:sz w:val="24"/>
          <w:szCs w:val="24"/>
        </w:rPr>
        <w:t>Biological or bacteria-based dosing systems use cultures designed to biologically break down the FOG in the drainage system. Naturally occurring bacteria are part of the make-up of the dosing materials, which can be supplied as fluid or powder, depending on the system used.</w:t>
      </w:r>
    </w:p>
    <w:p w:rsidR="00720192" w:rsidRPr="00123A9C" w:rsidRDefault="00720192" w:rsidP="00720192">
      <w:pPr>
        <w:rPr>
          <w:rFonts w:ascii="Arial" w:hAnsi="Arial" w:cs="Arial"/>
          <w:sz w:val="24"/>
          <w:szCs w:val="24"/>
        </w:rPr>
      </w:pPr>
      <w:r w:rsidRPr="00123A9C">
        <w:rPr>
          <w:rFonts w:ascii="Arial" w:hAnsi="Arial" w:cs="Arial"/>
          <w:sz w:val="24"/>
          <w:szCs w:val="24"/>
        </w:rPr>
        <w:lastRenderedPageBreak/>
        <w:t>Dosing systems work by delivering bacteria to augment the natural community of microorganisms that naturally exist in kitchen wastewater to biodegrade FOG over time. This speeds up the process of the FOG biodegradation. As a result, FOG is broken down irreversibly into simpler compounds.</w:t>
      </w:r>
    </w:p>
    <w:p w:rsidR="003E0138" w:rsidRPr="00123A9C" w:rsidRDefault="00720192">
      <w:pPr>
        <w:rPr>
          <w:rFonts w:ascii="Arial" w:hAnsi="Arial" w:cs="Arial"/>
          <w:sz w:val="24"/>
          <w:szCs w:val="24"/>
        </w:rPr>
      </w:pPr>
      <w:r w:rsidRPr="00123A9C">
        <w:rPr>
          <w:rFonts w:ascii="Arial" w:hAnsi="Arial" w:cs="Arial"/>
          <w:sz w:val="24"/>
          <w:szCs w:val="24"/>
        </w:rPr>
        <w:t>There are a number of factors that are known to effect the rate at which micro-organisms act on FOG. These include temperature, pH, the amount of oxygen in wastewater, the natural level of micro-organisms in the wastewater, and detergent levels. Perhaps the most important factor is time, the longer the solution has to act on FOG, the better the result.</w:t>
      </w:r>
    </w:p>
    <w:sectPr w:rsidR="003E0138" w:rsidRPr="00123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24"/>
    <w:rsid w:val="00123A9C"/>
    <w:rsid w:val="003E0138"/>
    <w:rsid w:val="00720192"/>
    <w:rsid w:val="007E1ABB"/>
    <w:rsid w:val="00DD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4C64"/>
  <w15:chartTrackingRefBased/>
  <w15:docId w15:val="{DC4F8221-C0D9-4E4F-B945-16BF62C3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Des</dc:creator>
  <cp:keywords/>
  <dc:description/>
  <cp:lastModifiedBy>Brown, Des</cp:lastModifiedBy>
  <cp:revision>4</cp:revision>
  <dcterms:created xsi:type="dcterms:W3CDTF">2017-09-07T15:19:00Z</dcterms:created>
  <dcterms:modified xsi:type="dcterms:W3CDTF">2017-09-11T11:59:00Z</dcterms:modified>
</cp:coreProperties>
</file>