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5AED4" w14:textId="77777777" w:rsidR="00536C2E" w:rsidRDefault="00342B9B" w:rsidP="00EA4709">
      <w:pPr>
        <w:rPr>
          <w:b/>
          <w:lang w:val="en-US"/>
        </w:rPr>
      </w:pPr>
      <w:r>
        <w:rPr>
          <w:b/>
          <w:lang w:val="en-US"/>
        </w:rPr>
        <w:t xml:space="preserve">Pubs </w:t>
      </w:r>
      <w:r w:rsidR="00273C95">
        <w:rPr>
          <w:b/>
          <w:lang w:val="en-US"/>
        </w:rPr>
        <w:t>- Receipts and Expenditure valuation</w:t>
      </w:r>
    </w:p>
    <w:p w14:paraId="56A0D095" w14:textId="77777777" w:rsidR="00EA4709" w:rsidRPr="00BE2F17" w:rsidRDefault="00273C95" w:rsidP="00EA4709">
      <w:pPr>
        <w:rPr>
          <w:b/>
          <w:lang w:val="en-US"/>
        </w:rPr>
      </w:pPr>
      <w:r>
        <w:rPr>
          <w:b/>
          <w:lang w:val="en-US"/>
        </w:rPr>
        <w:t>A</w:t>
      </w:r>
      <w:r w:rsidR="00EA4709">
        <w:rPr>
          <w:b/>
          <w:lang w:val="en-US"/>
        </w:rPr>
        <w:t>pproach</w:t>
      </w:r>
      <w:r w:rsidR="00536C2E">
        <w:rPr>
          <w:b/>
          <w:lang w:val="en-US"/>
        </w:rPr>
        <w:t xml:space="preserve"> </w:t>
      </w:r>
      <w:r w:rsidR="00957FE7">
        <w:rPr>
          <w:b/>
          <w:lang w:val="en-US"/>
        </w:rPr>
        <w:t xml:space="preserve">for </w:t>
      </w:r>
      <w:proofErr w:type="spellStart"/>
      <w:r w:rsidR="00957FE7">
        <w:rPr>
          <w:b/>
          <w:lang w:val="en-US"/>
        </w:rPr>
        <w:t>Reval</w:t>
      </w:r>
      <w:proofErr w:type="spellEnd"/>
      <w:r w:rsidR="00957FE7">
        <w:rPr>
          <w:b/>
          <w:lang w:val="en-US"/>
        </w:rPr>
        <w:t xml:space="preserve"> 2020</w:t>
      </w:r>
      <w:r w:rsidR="00EA4709">
        <w:rPr>
          <w:b/>
          <w:lang w:val="en-US"/>
        </w:rPr>
        <w:tab/>
      </w:r>
    </w:p>
    <w:p w14:paraId="726ECE99" w14:textId="77777777" w:rsidR="00EA4709" w:rsidRPr="00BB3DC5" w:rsidRDefault="00EA4709" w:rsidP="0020397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B3DC5">
        <w:rPr>
          <w:rFonts w:ascii="Arial" w:hAnsi="Arial" w:cs="Arial"/>
        </w:rPr>
        <w:t>Wet (Drink) &amp; Dry (Food) Income separated</w:t>
      </w:r>
    </w:p>
    <w:p w14:paraId="1FF8C80F" w14:textId="77777777" w:rsidR="00EA4709" w:rsidRPr="00BB3DC5" w:rsidRDefault="00EA4709" w:rsidP="0020397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55F3C">
        <w:rPr>
          <w:rFonts w:ascii="Arial" w:hAnsi="Arial" w:cs="Arial"/>
        </w:rPr>
        <w:t xml:space="preserve">Wet </w:t>
      </w:r>
      <w:proofErr w:type="gramStart"/>
      <w:r w:rsidRPr="00855F3C">
        <w:rPr>
          <w:rFonts w:ascii="Arial" w:hAnsi="Arial" w:cs="Arial"/>
        </w:rPr>
        <w:t>income</w:t>
      </w:r>
      <w:r w:rsidR="00957FE7" w:rsidRPr="00855F3C">
        <w:rPr>
          <w:rFonts w:ascii="Arial" w:hAnsi="Arial" w:cs="Arial"/>
        </w:rPr>
        <w:t xml:space="preserve"> </w:t>
      </w:r>
      <w:r w:rsidR="00A43A64" w:rsidRPr="00BB3DC5">
        <w:rPr>
          <w:rFonts w:ascii="Arial" w:hAnsi="Arial" w:cs="Arial"/>
        </w:rPr>
        <w:t xml:space="preserve"> is</w:t>
      </w:r>
      <w:proofErr w:type="gramEnd"/>
      <w:r w:rsidR="00A43A64" w:rsidRPr="00BB3DC5">
        <w:rPr>
          <w:rFonts w:ascii="Arial" w:hAnsi="Arial" w:cs="Arial"/>
        </w:rPr>
        <w:t xml:space="preserve"> </w:t>
      </w:r>
      <w:r w:rsidR="00957FE7" w:rsidRPr="00BB3DC5">
        <w:rPr>
          <w:rFonts w:ascii="Arial" w:hAnsi="Arial" w:cs="Arial"/>
        </w:rPr>
        <w:t>taken at</w:t>
      </w:r>
      <w:r w:rsidRPr="00BB3DC5">
        <w:rPr>
          <w:rFonts w:ascii="Arial" w:hAnsi="Arial" w:cs="Arial"/>
        </w:rPr>
        <w:t xml:space="preserve"> 5-8%</w:t>
      </w:r>
    </w:p>
    <w:p w14:paraId="261FA052" w14:textId="77777777" w:rsidR="00EA4709" w:rsidRPr="00BB3DC5" w:rsidRDefault="00EA4709" w:rsidP="0020397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55F3C">
        <w:rPr>
          <w:rFonts w:ascii="Arial" w:hAnsi="Arial" w:cs="Arial"/>
        </w:rPr>
        <w:t>Dry food (regardless of the threshold) is taken at 5%</w:t>
      </w:r>
    </w:p>
    <w:p w14:paraId="26563E76" w14:textId="77777777" w:rsidR="00EA4709" w:rsidRPr="00BB3DC5" w:rsidRDefault="00EA4709" w:rsidP="0020397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55F3C">
        <w:rPr>
          <w:rFonts w:ascii="Arial" w:hAnsi="Arial" w:cs="Arial"/>
        </w:rPr>
        <w:t>To ensure low food income generators are not penalised the initial two steps of weighting applies</w:t>
      </w:r>
    </w:p>
    <w:p w14:paraId="55A6F215" w14:textId="77777777" w:rsidR="00EA4709" w:rsidRPr="00BB3DC5" w:rsidRDefault="00EA4709" w:rsidP="0020397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55F3C">
        <w:rPr>
          <w:rFonts w:ascii="Arial" w:hAnsi="Arial" w:cs="Arial"/>
        </w:rPr>
        <w:t xml:space="preserve">The first £40,000 of income is disregarded due to the lack of profitability </w:t>
      </w:r>
    </w:p>
    <w:p w14:paraId="00A1F8D5" w14:textId="77777777" w:rsidR="00EA4709" w:rsidRPr="00BB3DC5" w:rsidRDefault="00EA4709" w:rsidP="0020397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55F3C">
        <w:rPr>
          <w:rFonts w:ascii="Arial" w:hAnsi="Arial" w:cs="Arial"/>
        </w:rPr>
        <w:t>The next £40,000 of income is taken at 75%</w:t>
      </w:r>
    </w:p>
    <w:p w14:paraId="60D3B7C1" w14:textId="77777777" w:rsidR="00EA4709" w:rsidRPr="00BB3DC5" w:rsidRDefault="00EA4709" w:rsidP="0020397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55F3C">
        <w:rPr>
          <w:rFonts w:ascii="Arial" w:hAnsi="Arial" w:cs="Arial"/>
        </w:rPr>
        <w:t>Recognises the difficulties in generating and maintaining food income</w:t>
      </w:r>
    </w:p>
    <w:p w14:paraId="353D3FAE" w14:textId="77777777" w:rsidR="00EA4709" w:rsidRPr="00BB3DC5" w:rsidRDefault="00EA4709" w:rsidP="0020397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855F3C">
        <w:rPr>
          <w:rFonts w:ascii="Arial" w:hAnsi="Arial" w:cs="Arial"/>
        </w:rPr>
        <w:t xml:space="preserve">Once the appropriate percentages </w:t>
      </w:r>
      <w:r w:rsidR="00273C95">
        <w:rPr>
          <w:rFonts w:ascii="Arial" w:hAnsi="Arial" w:cs="Arial"/>
        </w:rPr>
        <w:t>are</w:t>
      </w:r>
      <w:r w:rsidRPr="00855F3C">
        <w:rPr>
          <w:rFonts w:ascii="Arial" w:hAnsi="Arial" w:cs="Arial"/>
        </w:rPr>
        <w:t xml:space="preserve"> applied to wet &amp; dry income – the combined amount equates to the </w:t>
      </w:r>
      <w:r w:rsidRPr="00BB3DC5">
        <w:rPr>
          <w:rFonts w:ascii="Arial" w:hAnsi="Arial" w:cs="Arial"/>
        </w:rPr>
        <w:t>NAV.</w:t>
      </w: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167"/>
        <w:gridCol w:w="2754"/>
      </w:tblGrid>
      <w:tr w:rsidR="00EA4709" w:rsidRPr="00BE2F17" w14:paraId="643E1630" w14:textId="77777777" w:rsidTr="00CD610A">
        <w:trPr>
          <w:trHeight w:val="279"/>
        </w:trPr>
        <w:tc>
          <w:tcPr>
            <w:tcW w:w="3095" w:type="dxa"/>
            <w:shd w:val="clear" w:color="auto" w:fill="EAF1DD"/>
          </w:tcPr>
          <w:p w14:paraId="09C0CFFB" w14:textId="77777777" w:rsidR="00EA4709" w:rsidRPr="00BE2F17" w:rsidRDefault="00EA4709" w:rsidP="00CD610A">
            <w:pPr>
              <w:tabs>
                <w:tab w:val="right" w:pos="3898"/>
              </w:tabs>
              <w:spacing w:after="0" w:line="240" w:lineRule="auto"/>
              <w:jc w:val="center"/>
              <w:rPr>
                <w:b/>
              </w:rPr>
            </w:pPr>
            <w:r w:rsidRPr="00BE2F17">
              <w:rPr>
                <w:b/>
              </w:rPr>
              <w:t>FMT / Turnover</w:t>
            </w:r>
          </w:p>
        </w:tc>
        <w:tc>
          <w:tcPr>
            <w:tcW w:w="5921" w:type="dxa"/>
            <w:gridSpan w:val="2"/>
            <w:shd w:val="clear" w:color="auto" w:fill="EAF1DD"/>
          </w:tcPr>
          <w:p w14:paraId="44F77486" w14:textId="77777777" w:rsidR="00EA4709" w:rsidRPr="00BE2F17" w:rsidRDefault="00EA4709" w:rsidP="00CD610A">
            <w:pPr>
              <w:spacing w:after="0" w:line="240" w:lineRule="auto"/>
              <w:jc w:val="center"/>
              <w:rPr>
                <w:b/>
              </w:rPr>
            </w:pPr>
            <w:r w:rsidRPr="00BE2F17">
              <w:rPr>
                <w:b/>
              </w:rPr>
              <w:t>Percentage rate to be applied</w:t>
            </w:r>
          </w:p>
        </w:tc>
      </w:tr>
      <w:tr w:rsidR="00EA4709" w:rsidRPr="00BE2F17" w14:paraId="405E295C" w14:textId="77777777" w:rsidTr="00CD610A">
        <w:trPr>
          <w:trHeight w:val="279"/>
        </w:trPr>
        <w:tc>
          <w:tcPr>
            <w:tcW w:w="3095" w:type="dxa"/>
            <w:shd w:val="clear" w:color="auto" w:fill="EAF1DD"/>
          </w:tcPr>
          <w:p w14:paraId="3CE623A7" w14:textId="77777777" w:rsidR="00EA4709" w:rsidRPr="00BE2F17" w:rsidRDefault="00EA4709" w:rsidP="00CD610A">
            <w:pPr>
              <w:tabs>
                <w:tab w:val="right" w:pos="3898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67" w:type="dxa"/>
            <w:shd w:val="clear" w:color="auto" w:fill="EAF1DD"/>
          </w:tcPr>
          <w:p w14:paraId="63F28CF1" w14:textId="77777777" w:rsidR="00EA4709" w:rsidRPr="00BE2F17" w:rsidRDefault="00EA4709" w:rsidP="00CD610A">
            <w:pPr>
              <w:spacing w:after="0" w:line="240" w:lineRule="auto"/>
              <w:jc w:val="center"/>
              <w:rPr>
                <w:b/>
              </w:rPr>
            </w:pPr>
            <w:r w:rsidRPr="00BE2F17">
              <w:rPr>
                <w:b/>
              </w:rPr>
              <w:t>Wet Sales (Drink)</w:t>
            </w:r>
          </w:p>
        </w:tc>
        <w:tc>
          <w:tcPr>
            <w:tcW w:w="2754" w:type="dxa"/>
            <w:shd w:val="clear" w:color="auto" w:fill="EAF1DD"/>
          </w:tcPr>
          <w:p w14:paraId="6B15DA22" w14:textId="77777777" w:rsidR="00EA4709" w:rsidRPr="00BE2F17" w:rsidRDefault="00EA4709" w:rsidP="00CD610A">
            <w:pPr>
              <w:spacing w:after="0" w:line="240" w:lineRule="auto"/>
              <w:jc w:val="center"/>
              <w:rPr>
                <w:b/>
              </w:rPr>
            </w:pPr>
            <w:r w:rsidRPr="00BE2F17">
              <w:rPr>
                <w:b/>
              </w:rPr>
              <w:t>Dry Sales (Food)</w:t>
            </w:r>
          </w:p>
        </w:tc>
      </w:tr>
      <w:tr w:rsidR="00EA4709" w:rsidRPr="00BE2F17" w14:paraId="0DBF5DE8" w14:textId="77777777" w:rsidTr="00CD610A">
        <w:trPr>
          <w:trHeight w:val="262"/>
        </w:trPr>
        <w:tc>
          <w:tcPr>
            <w:tcW w:w="3095" w:type="dxa"/>
          </w:tcPr>
          <w:p w14:paraId="7765948C" w14:textId="77777777" w:rsidR="00EA4709" w:rsidRPr="00BE2F17" w:rsidRDefault="00EA4709" w:rsidP="00CD610A">
            <w:pPr>
              <w:spacing w:after="0" w:line="240" w:lineRule="auto"/>
              <w:jc w:val="center"/>
            </w:pPr>
            <w:r w:rsidRPr="00BE2F17">
              <w:t>Below £250,000</w:t>
            </w:r>
          </w:p>
        </w:tc>
        <w:tc>
          <w:tcPr>
            <w:tcW w:w="3167" w:type="dxa"/>
          </w:tcPr>
          <w:p w14:paraId="0F00AECE" w14:textId="77777777" w:rsidR="00EA4709" w:rsidRPr="00BE2F17" w:rsidRDefault="00EA4709" w:rsidP="00CD610A">
            <w:pPr>
              <w:spacing w:after="0" w:line="240" w:lineRule="auto"/>
              <w:jc w:val="center"/>
            </w:pPr>
            <w:r w:rsidRPr="00BE2F17">
              <w:t>5%</w:t>
            </w:r>
          </w:p>
        </w:tc>
        <w:tc>
          <w:tcPr>
            <w:tcW w:w="2754" w:type="dxa"/>
          </w:tcPr>
          <w:p w14:paraId="283ED6B3" w14:textId="77777777" w:rsidR="00EA4709" w:rsidRPr="00BE2F17" w:rsidRDefault="00EA4709" w:rsidP="00CD610A">
            <w:pPr>
              <w:spacing w:after="0" w:line="240" w:lineRule="auto"/>
              <w:jc w:val="center"/>
            </w:pPr>
            <w:r w:rsidRPr="00BE2F17">
              <w:t>5%</w:t>
            </w:r>
          </w:p>
        </w:tc>
      </w:tr>
      <w:tr w:rsidR="00EA4709" w:rsidRPr="00BE2F17" w14:paraId="7DA860B7" w14:textId="77777777" w:rsidTr="00CD610A">
        <w:trPr>
          <w:trHeight w:val="279"/>
        </w:trPr>
        <w:tc>
          <w:tcPr>
            <w:tcW w:w="3095" w:type="dxa"/>
          </w:tcPr>
          <w:p w14:paraId="01824EB3" w14:textId="77777777" w:rsidR="00EA4709" w:rsidRPr="00BE2F17" w:rsidRDefault="00EA4709" w:rsidP="00CD610A">
            <w:pPr>
              <w:spacing w:after="0" w:line="240" w:lineRule="auto"/>
              <w:jc w:val="center"/>
            </w:pPr>
            <w:r w:rsidRPr="00BE2F17">
              <w:t>£250,001 - £500,000</w:t>
            </w:r>
          </w:p>
        </w:tc>
        <w:tc>
          <w:tcPr>
            <w:tcW w:w="3167" w:type="dxa"/>
          </w:tcPr>
          <w:p w14:paraId="7F11CC17" w14:textId="77777777" w:rsidR="00EA4709" w:rsidRPr="00BE2F17" w:rsidRDefault="00EA4709" w:rsidP="00CD610A">
            <w:pPr>
              <w:spacing w:after="0" w:line="240" w:lineRule="auto"/>
              <w:jc w:val="center"/>
            </w:pPr>
            <w:r w:rsidRPr="00BE2F17">
              <w:t>6%</w:t>
            </w:r>
          </w:p>
        </w:tc>
        <w:tc>
          <w:tcPr>
            <w:tcW w:w="2754" w:type="dxa"/>
          </w:tcPr>
          <w:p w14:paraId="68CF8EDB" w14:textId="77777777" w:rsidR="00EA4709" w:rsidRPr="00BE2F17" w:rsidRDefault="00EA4709" w:rsidP="00CD610A">
            <w:pPr>
              <w:spacing w:after="0" w:line="240" w:lineRule="auto"/>
              <w:jc w:val="center"/>
            </w:pPr>
            <w:r w:rsidRPr="00BE2F17">
              <w:t>5%</w:t>
            </w:r>
          </w:p>
        </w:tc>
      </w:tr>
      <w:tr w:rsidR="00EA4709" w:rsidRPr="00BE2F17" w14:paraId="2B616537" w14:textId="77777777" w:rsidTr="00CD610A">
        <w:trPr>
          <w:trHeight w:val="279"/>
        </w:trPr>
        <w:tc>
          <w:tcPr>
            <w:tcW w:w="3095" w:type="dxa"/>
          </w:tcPr>
          <w:p w14:paraId="3F9341AB" w14:textId="77777777" w:rsidR="00EA4709" w:rsidRPr="00BE2F17" w:rsidRDefault="00EA4709" w:rsidP="00CD610A">
            <w:pPr>
              <w:spacing w:after="0" w:line="240" w:lineRule="auto"/>
              <w:jc w:val="center"/>
            </w:pPr>
            <w:r w:rsidRPr="00BE2F17">
              <w:t>£500,001 - £750,000</w:t>
            </w:r>
          </w:p>
        </w:tc>
        <w:tc>
          <w:tcPr>
            <w:tcW w:w="3167" w:type="dxa"/>
          </w:tcPr>
          <w:p w14:paraId="0F4B1A43" w14:textId="77777777" w:rsidR="00EA4709" w:rsidRPr="00BE2F17" w:rsidRDefault="00EA4709" w:rsidP="00CD610A">
            <w:pPr>
              <w:spacing w:after="0" w:line="240" w:lineRule="auto"/>
              <w:jc w:val="center"/>
            </w:pPr>
            <w:r w:rsidRPr="00BE2F17">
              <w:t>7%</w:t>
            </w:r>
          </w:p>
        </w:tc>
        <w:tc>
          <w:tcPr>
            <w:tcW w:w="2754" w:type="dxa"/>
          </w:tcPr>
          <w:p w14:paraId="4F3B2759" w14:textId="77777777" w:rsidR="00EA4709" w:rsidRPr="00BE2F17" w:rsidRDefault="00EA4709" w:rsidP="00CD610A">
            <w:pPr>
              <w:spacing w:after="0" w:line="240" w:lineRule="auto"/>
              <w:jc w:val="center"/>
            </w:pPr>
            <w:r w:rsidRPr="00BE2F17">
              <w:t>5%</w:t>
            </w:r>
          </w:p>
        </w:tc>
      </w:tr>
      <w:tr w:rsidR="00EA4709" w:rsidRPr="00BE2F17" w14:paraId="4A2F2D11" w14:textId="77777777" w:rsidTr="00CD610A">
        <w:trPr>
          <w:trHeight w:val="279"/>
        </w:trPr>
        <w:tc>
          <w:tcPr>
            <w:tcW w:w="3095" w:type="dxa"/>
          </w:tcPr>
          <w:p w14:paraId="5274A753" w14:textId="77777777" w:rsidR="00EA4709" w:rsidRPr="00BE2F17" w:rsidRDefault="00EA4709" w:rsidP="00CD610A">
            <w:pPr>
              <w:spacing w:after="0" w:line="240" w:lineRule="auto"/>
              <w:jc w:val="center"/>
            </w:pPr>
            <w:r w:rsidRPr="00BE2F17">
              <w:t>£750,001 and above</w:t>
            </w:r>
          </w:p>
        </w:tc>
        <w:tc>
          <w:tcPr>
            <w:tcW w:w="3167" w:type="dxa"/>
          </w:tcPr>
          <w:p w14:paraId="60440BC5" w14:textId="77777777" w:rsidR="00EA4709" w:rsidRPr="00BE2F17" w:rsidRDefault="00EA4709" w:rsidP="00CD610A">
            <w:pPr>
              <w:spacing w:after="0" w:line="240" w:lineRule="auto"/>
              <w:jc w:val="center"/>
            </w:pPr>
            <w:r w:rsidRPr="00BE2F17">
              <w:t>8%</w:t>
            </w:r>
          </w:p>
        </w:tc>
        <w:tc>
          <w:tcPr>
            <w:tcW w:w="2754" w:type="dxa"/>
          </w:tcPr>
          <w:p w14:paraId="2D845EA2" w14:textId="77777777" w:rsidR="00EA4709" w:rsidRPr="00BE2F17" w:rsidRDefault="00EA4709" w:rsidP="00CD610A">
            <w:pPr>
              <w:spacing w:after="0" w:line="240" w:lineRule="auto"/>
              <w:jc w:val="center"/>
            </w:pPr>
            <w:r w:rsidRPr="00BE2F17">
              <w:t>5%</w:t>
            </w:r>
          </w:p>
        </w:tc>
      </w:tr>
    </w:tbl>
    <w:p w14:paraId="0EE0B235" w14:textId="77777777" w:rsidR="00EA4709" w:rsidRDefault="00EA4709"/>
    <w:p w14:paraId="5D21443D" w14:textId="77777777" w:rsidR="00EA4709" w:rsidRPr="00EA4709" w:rsidRDefault="00273C95">
      <w:pPr>
        <w:rPr>
          <w:b/>
        </w:rPr>
      </w:pPr>
      <w:r>
        <w:rPr>
          <w:b/>
        </w:rPr>
        <w:t xml:space="preserve">Proposed Approach for </w:t>
      </w:r>
      <w:proofErr w:type="spellStart"/>
      <w:r w:rsidR="00EA4709" w:rsidRPr="00EA4709">
        <w:rPr>
          <w:b/>
        </w:rPr>
        <w:t>Reval</w:t>
      </w:r>
      <w:proofErr w:type="spellEnd"/>
      <w:r w:rsidR="00EA4709" w:rsidRPr="00EA4709">
        <w:rPr>
          <w:b/>
        </w:rPr>
        <w:t xml:space="preserve"> 20</w:t>
      </w:r>
      <w:r w:rsidR="00342B9B">
        <w:rPr>
          <w:b/>
        </w:rPr>
        <w:t>23</w:t>
      </w:r>
    </w:p>
    <w:p w14:paraId="6043BFB6" w14:textId="77777777" w:rsidR="00EA4709" w:rsidRDefault="00EA4709" w:rsidP="00203972">
      <w:pPr>
        <w:jc w:val="both"/>
      </w:pPr>
      <w:r>
        <w:t xml:space="preserve">The approach </w:t>
      </w:r>
      <w:r w:rsidR="00A43A64">
        <w:t xml:space="preserve">for </w:t>
      </w:r>
      <w:proofErr w:type="spellStart"/>
      <w:r w:rsidR="00A43A64">
        <w:t>Reval</w:t>
      </w:r>
      <w:proofErr w:type="spellEnd"/>
      <w:r w:rsidR="00A43A64">
        <w:t xml:space="preserve"> 2023 </w:t>
      </w:r>
      <w:r>
        <w:t>will be maintained but an additional step will be added.</w:t>
      </w:r>
    </w:p>
    <w:p w14:paraId="221E8402" w14:textId="77777777" w:rsidR="00EA4709" w:rsidRDefault="00EA4709" w:rsidP="00203972">
      <w:pPr>
        <w:jc w:val="both"/>
      </w:pPr>
      <w:r>
        <w:t xml:space="preserve">Once the </w:t>
      </w:r>
      <w:r w:rsidR="00110A06">
        <w:t xml:space="preserve">pre-covid </w:t>
      </w:r>
      <w:r>
        <w:t xml:space="preserve">FMT </w:t>
      </w:r>
      <w:r w:rsidR="00C34857">
        <w:t>is</w:t>
      </w:r>
      <w:r>
        <w:t xml:space="preserve"> </w:t>
      </w:r>
      <w:r w:rsidR="00C65D69">
        <w:t>estimated, a</w:t>
      </w:r>
      <w:r w:rsidR="00A43A64">
        <w:t xml:space="preserve"> factor of </w:t>
      </w:r>
      <w:r w:rsidR="000D4BDB">
        <w:t>0.8</w:t>
      </w:r>
      <w:r w:rsidR="00A43A64">
        <w:t xml:space="preserve"> will be applied to it, reflecting </w:t>
      </w:r>
      <w:r w:rsidR="00114EDE">
        <w:t xml:space="preserve">within the 2023 NAV </w:t>
      </w:r>
      <w:r w:rsidR="00A43A64">
        <w:t>the impact o</w:t>
      </w:r>
      <w:r w:rsidR="00114EDE">
        <w:t>f e</w:t>
      </w:r>
      <w:r w:rsidR="00A43A64">
        <w:t>conomic conditions</w:t>
      </w:r>
      <w:r w:rsidR="00114EDE">
        <w:t xml:space="preserve"> </w:t>
      </w:r>
      <w:r w:rsidR="00E42656">
        <w:t xml:space="preserve">at the Valuation Date </w:t>
      </w:r>
      <w:r w:rsidR="00A43A64">
        <w:t xml:space="preserve">and the </w:t>
      </w:r>
      <w:r w:rsidR="00114EDE">
        <w:t xml:space="preserve">predicted </w:t>
      </w:r>
      <w:r w:rsidR="00A43A64">
        <w:t>gradual return to pre-covid trading patterns.</w:t>
      </w:r>
    </w:p>
    <w:p w14:paraId="07BB00DE" w14:textId="77777777" w:rsidR="00EA4709" w:rsidRDefault="00EA4709" w:rsidP="00203972">
      <w:pPr>
        <w:jc w:val="both"/>
      </w:pPr>
      <w:r>
        <w:t xml:space="preserve">The weighted approach to food will be maintained </w:t>
      </w:r>
    </w:p>
    <w:p w14:paraId="2C1D0AB5" w14:textId="77777777" w:rsidR="00EA4709" w:rsidRDefault="00EA4709" w:rsidP="00203972">
      <w:pPr>
        <w:jc w:val="both"/>
        <w:rPr>
          <w:b/>
        </w:rPr>
      </w:pPr>
      <w:r>
        <w:t>Once weighted for</w:t>
      </w:r>
      <w:r w:rsidR="000241ED">
        <w:t xml:space="preserve"> food</w:t>
      </w:r>
      <w:r>
        <w:t xml:space="preserve"> the</w:t>
      </w:r>
      <w:r w:rsidR="000241ED">
        <w:t xml:space="preserve"> combined</w:t>
      </w:r>
      <w:r>
        <w:t xml:space="preserve"> adopted/adjusted FMT</w:t>
      </w:r>
      <w:r w:rsidR="000241ED">
        <w:t xml:space="preserve"> for all income streams,</w:t>
      </w:r>
      <w:r>
        <w:t xml:space="preserve"> will be multiplied by the percentages in the tables above</w:t>
      </w:r>
      <w:r w:rsidR="000241ED">
        <w:t>. This</w:t>
      </w:r>
      <w:r>
        <w:t xml:space="preserve"> will convert the FMT figures to an NAV.</w:t>
      </w:r>
    </w:p>
    <w:p w14:paraId="71309539" w14:textId="77777777" w:rsidR="00EA4709" w:rsidRDefault="00EA4709">
      <w:pPr>
        <w:rPr>
          <w:b/>
        </w:rPr>
      </w:pPr>
    </w:p>
    <w:p w14:paraId="6FD992E1" w14:textId="77777777" w:rsidR="00EA4709" w:rsidRDefault="00EA4709">
      <w:pPr>
        <w:rPr>
          <w:b/>
        </w:rPr>
      </w:pPr>
    </w:p>
    <w:p w14:paraId="08E4C697" w14:textId="77777777" w:rsidR="00EA4709" w:rsidRDefault="00EA4709">
      <w:pPr>
        <w:rPr>
          <w:b/>
        </w:rPr>
      </w:pPr>
    </w:p>
    <w:p w14:paraId="4BA34447" w14:textId="77777777" w:rsidR="00EA4709" w:rsidRDefault="00EA4709">
      <w:pPr>
        <w:rPr>
          <w:b/>
        </w:rPr>
      </w:pPr>
    </w:p>
    <w:p w14:paraId="517F4530" w14:textId="77777777" w:rsidR="00EA4709" w:rsidRDefault="00EA4709">
      <w:pPr>
        <w:rPr>
          <w:b/>
        </w:rPr>
      </w:pPr>
    </w:p>
    <w:p w14:paraId="1A8E23C6" w14:textId="77777777" w:rsidR="00EA4709" w:rsidRDefault="00EA4709">
      <w:pPr>
        <w:rPr>
          <w:b/>
        </w:rPr>
      </w:pPr>
    </w:p>
    <w:p w14:paraId="59FF1488" w14:textId="77777777" w:rsidR="00EA4709" w:rsidRDefault="00EA4709">
      <w:pPr>
        <w:rPr>
          <w:b/>
        </w:rPr>
      </w:pPr>
    </w:p>
    <w:p w14:paraId="29C388B0" w14:textId="77777777" w:rsidR="00EA4709" w:rsidRDefault="00EA4709">
      <w:pPr>
        <w:rPr>
          <w:b/>
        </w:rPr>
      </w:pPr>
    </w:p>
    <w:p w14:paraId="4D5F9543" w14:textId="77777777" w:rsidR="00EA4709" w:rsidRDefault="00EA4709">
      <w:pPr>
        <w:rPr>
          <w:b/>
        </w:rPr>
      </w:pPr>
    </w:p>
    <w:p w14:paraId="66EE168F" w14:textId="77777777" w:rsidR="00EA4709" w:rsidRDefault="00EA4709">
      <w:pPr>
        <w:rPr>
          <w:b/>
        </w:rPr>
      </w:pPr>
    </w:p>
    <w:p w14:paraId="56E46961" w14:textId="77777777" w:rsidR="001C0BB7" w:rsidRDefault="001C0BB7" w:rsidP="001C0BB7">
      <w:r>
        <w:lastRenderedPageBreak/>
        <w:t xml:space="preserve">For illustrative purposes only, the examples below use the same Fair Maintainable Trade for </w:t>
      </w:r>
      <w:proofErr w:type="spellStart"/>
      <w:r>
        <w:t>Reval</w:t>
      </w:r>
      <w:proofErr w:type="spellEnd"/>
      <w:r>
        <w:t xml:space="preserve"> 2020 and </w:t>
      </w:r>
      <w:proofErr w:type="spellStart"/>
      <w:r>
        <w:t>Reval</w:t>
      </w:r>
      <w:proofErr w:type="spellEnd"/>
      <w:r>
        <w:t xml:space="preserve"> 2023. </w:t>
      </w:r>
    </w:p>
    <w:p w14:paraId="13AB8AA1" w14:textId="77777777" w:rsidR="001C0BB7" w:rsidRDefault="001C0BB7">
      <w:pPr>
        <w:rPr>
          <w:b/>
        </w:rPr>
      </w:pPr>
      <w:r>
        <w:t xml:space="preserve">The actual FMT adopted for </w:t>
      </w:r>
      <w:proofErr w:type="spellStart"/>
      <w:r>
        <w:t>Reval</w:t>
      </w:r>
      <w:proofErr w:type="spellEnd"/>
      <w:r>
        <w:t xml:space="preserve"> 2023 will be reviewed as part of the Revaluation process and may be higher or lower than that adopted for </w:t>
      </w:r>
      <w:proofErr w:type="spellStart"/>
      <w:r>
        <w:t>Reval</w:t>
      </w:r>
      <w:proofErr w:type="spellEnd"/>
      <w:r>
        <w:t xml:space="preserve"> 2020</w:t>
      </w:r>
    </w:p>
    <w:p w14:paraId="36F1F48B" w14:textId="77777777" w:rsidR="009807B5" w:rsidRPr="002F1C83" w:rsidRDefault="002F1C83">
      <w:pPr>
        <w:rPr>
          <w:b/>
        </w:rPr>
      </w:pPr>
      <w:r w:rsidRPr="002F1C83">
        <w:rPr>
          <w:b/>
        </w:rPr>
        <w:t xml:space="preserve">Example A </w:t>
      </w:r>
    </w:p>
    <w:p w14:paraId="7B3F38DB" w14:textId="77777777" w:rsidR="002F1C83" w:rsidRDefault="00114EDE">
      <w:proofErr w:type="spellStart"/>
      <w:r>
        <w:t>Reval</w:t>
      </w:r>
      <w:proofErr w:type="spellEnd"/>
      <w:r>
        <w:t xml:space="preserve"> 2020 </w:t>
      </w:r>
      <w:r w:rsidR="002F1C83">
        <w:t xml:space="preserve">Approach </w:t>
      </w:r>
    </w:p>
    <w:tbl>
      <w:tblPr>
        <w:tblW w:w="4878" w:type="dxa"/>
        <w:tblInd w:w="-5" w:type="dxa"/>
        <w:tblLook w:val="04A0" w:firstRow="1" w:lastRow="0" w:firstColumn="1" w:lastColumn="0" w:noHBand="0" w:noVBand="1"/>
      </w:tblPr>
      <w:tblGrid>
        <w:gridCol w:w="1323"/>
        <w:gridCol w:w="1134"/>
        <w:gridCol w:w="1287"/>
        <w:gridCol w:w="1134"/>
      </w:tblGrid>
      <w:tr w:rsidR="002F1C83" w:rsidRPr="002F1C83" w14:paraId="22AE264E" w14:textId="77777777" w:rsidTr="002F1C83">
        <w:trPr>
          <w:trHeight w:val="259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2AE3" w14:textId="77777777" w:rsidR="002F1C83" w:rsidRPr="002F1C83" w:rsidRDefault="002F1C83" w:rsidP="002F1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Stream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0DBA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FMT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4215" w14:textId="77777777" w:rsidR="002F1C83" w:rsidRPr="002F1C83" w:rsidRDefault="002F1C83" w:rsidP="002F1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Weighted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EB3B" w14:textId="77777777" w:rsidR="002F1C83" w:rsidRPr="002F1C83" w:rsidRDefault="002F1C83" w:rsidP="002F1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Adopt </w:t>
            </w:r>
          </w:p>
        </w:tc>
      </w:tr>
      <w:tr w:rsidR="002F1C83" w:rsidRPr="002F1C83" w14:paraId="47794461" w14:textId="77777777" w:rsidTr="002F1C83">
        <w:trPr>
          <w:trHeight w:val="25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3915" w14:textId="77777777" w:rsidR="002F1C83" w:rsidRPr="002F1C83" w:rsidRDefault="002F1C83" w:rsidP="002F1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On sales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9DB1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485,000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5894" w14:textId="77777777" w:rsidR="002F1C83" w:rsidRPr="002F1C83" w:rsidRDefault="002F1C83" w:rsidP="002F1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1855" w14:textId="77777777" w:rsidR="002F1C83" w:rsidRPr="002F1C83" w:rsidRDefault="002F1C83" w:rsidP="002F1C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485,000</w:t>
            </w:r>
          </w:p>
        </w:tc>
      </w:tr>
      <w:tr w:rsidR="002F1C83" w:rsidRPr="002F1C83" w14:paraId="5068E442" w14:textId="77777777" w:rsidTr="002F1C83">
        <w:trPr>
          <w:trHeight w:val="25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0C5E" w14:textId="77777777" w:rsidR="002F1C83" w:rsidRPr="002F1C83" w:rsidRDefault="002F1C83" w:rsidP="002F1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Food sales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1E6E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485,000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4936" w14:textId="77777777" w:rsidR="002F1C83" w:rsidRPr="002F1C83" w:rsidRDefault="00114EDE" w:rsidP="002F1C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- </w:t>
            </w:r>
            <w:r w:rsidR="002F1C83"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81FF" w14:textId="77777777" w:rsidR="002F1C83" w:rsidRPr="002F1C83" w:rsidRDefault="002F1C83" w:rsidP="002F1C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435,000</w:t>
            </w:r>
          </w:p>
        </w:tc>
      </w:tr>
    </w:tbl>
    <w:p w14:paraId="6309A2E6" w14:textId="77777777" w:rsidR="002F1C83" w:rsidRDefault="002F1C83" w:rsidP="00FC6FBA">
      <w:pPr>
        <w:spacing w:after="0"/>
      </w:pPr>
    </w:p>
    <w:p w14:paraId="03BB331E" w14:textId="77777777" w:rsidR="002F1C83" w:rsidRDefault="002F1C83">
      <w:r>
        <w:t>Calculation of NAV</w:t>
      </w:r>
      <w:r w:rsidR="00A43A64">
        <w:t xml:space="preserve"> </w:t>
      </w:r>
    </w:p>
    <w:tbl>
      <w:tblPr>
        <w:tblW w:w="3978" w:type="dxa"/>
        <w:tblInd w:w="-5" w:type="dxa"/>
        <w:tblLook w:val="04A0" w:firstRow="1" w:lastRow="0" w:firstColumn="1" w:lastColumn="0" w:noHBand="0" w:noVBand="1"/>
      </w:tblPr>
      <w:tblGrid>
        <w:gridCol w:w="1498"/>
        <w:gridCol w:w="1240"/>
        <w:gridCol w:w="1240"/>
      </w:tblGrid>
      <w:tr w:rsidR="002F1C83" w:rsidRPr="002F1C83" w14:paraId="3C6F0629" w14:textId="77777777" w:rsidTr="002F1C83">
        <w:trPr>
          <w:trHeight w:val="22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A60B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Adopt FMT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CAEA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4174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NAV</w:t>
            </w:r>
          </w:p>
        </w:tc>
      </w:tr>
      <w:tr w:rsidR="002F1C83" w:rsidRPr="002F1C83" w14:paraId="58745C86" w14:textId="77777777" w:rsidTr="002F1C83">
        <w:trPr>
          <w:trHeight w:val="223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3907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485,000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64C3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0.06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E8D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29,100</w:t>
            </w:r>
          </w:p>
        </w:tc>
      </w:tr>
      <w:tr w:rsidR="002F1C83" w:rsidRPr="002F1C83" w14:paraId="4408BB38" w14:textId="77777777" w:rsidTr="002F1C83">
        <w:trPr>
          <w:trHeight w:val="223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0B4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435,000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4BB5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0.05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3FEF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21,750</w:t>
            </w:r>
          </w:p>
        </w:tc>
      </w:tr>
      <w:tr w:rsidR="002F1C83" w:rsidRPr="002F1C83" w14:paraId="57DB2D1D" w14:textId="77777777" w:rsidTr="002F1C83">
        <w:trPr>
          <w:trHeight w:val="223"/>
        </w:trPr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35E0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A6BE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7A7B518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Cs w:val="22"/>
                <w:lang w:eastAsia="en-GB"/>
              </w:rPr>
              <w:t>£</w:t>
            </w: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50,850</w:t>
            </w:r>
          </w:p>
        </w:tc>
      </w:tr>
    </w:tbl>
    <w:p w14:paraId="0E5E91BF" w14:textId="77777777" w:rsidR="002F1C83" w:rsidRDefault="002F1C83" w:rsidP="00FC6FBA">
      <w:pPr>
        <w:spacing w:after="0"/>
      </w:pPr>
    </w:p>
    <w:p w14:paraId="5D0A088D" w14:textId="77777777" w:rsidR="002F1C83" w:rsidRDefault="002F1C83">
      <w:proofErr w:type="spellStart"/>
      <w:r>
        <w:t>Reval</w:t>
      </w:r>
      <w:proofErr w:type="spellEnd"/>
      <w:r>
        <w:t xml:space="preserve"> 2023 Approach </w:t>
      </w:r>
    </w:p>
    <w:tbl>
      <w:tblPr>
        <w:tblW w:w="7209" w:type="dxa"/>
        <w:tblInd w:w="-5" w:type="dxa"/>
        <w:tblLook w:val="04A0" w:firstRow="1" w:lastRow="0" w:firstColumn="1" w:lastColumn="0" w:noHBand="0" w:noVBand="1"/>
      </w:tblPr>
      <w:tblGrid>
        <w:gridCol w:w="1308"/>
        <w:gridCol w:w="1121"/>
        <w:gridCol w:w="1265"/>
        <w:gridCol w:w="1121"/>
        <w:gridCol w:w="1273"/>
        <w:gridCol w:w="1121"/>
      </w:tblGrid>
      <w:tr w:rsidR="002F1C83" w:rsidRPr="002F1C83" w14:paraId="6851B89D" w14:textId="77777777" w:rsidTr="002F1C83">
        <w:trPr>
          <w:trHeight w:val="214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03F4" w14:textId="77777777" w:rsidR="002F1C83" w:rsidRPr="002F1C83" w:rsidRDefault="002F1C83" w:rsidP="002F1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Stream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95B5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FMT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3A70" w14:textId="77777777" w:rsidR="002F1C83" w:rsidRPr="002F1C83" w:rsidRDefault="00957FE7" w:rsidP="00A43A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Reval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2023 </w:t>
            </w:r>
            <w:r w:rsidR="00A43A64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adjustment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B3ED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Adj</w:t>
            </w:r>
            <w:proofErr w:type="spellEnd"/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FMT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71C0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Weighted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A6BF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adopt </w:t>
            </w:r>
          </w:p>
        </w:tc>
      </w:tr>
      <w:tr w:rsidR="002F1C83" w:rsidRPr="002F1C83" w14:paraId="5F2FB34F" w14:textId="77777777" w:rsidTr="002F1C83">
        <w:trPr>
          <w:trHeight w:val="214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46F6" w14:textId="77777777" w:rsidR="002F1C83" w:rsidRPr="002F1C83" w:rsidRDefault="002F1C83" w:rsidP="002F1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On sales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22BB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485,000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5832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0.80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3E19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388,000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06F1" w14:textId="77777777" w:rsidR="002F1C83" w:rsidRPr="002F1C83" w:rsidRDefault="002F1C83" w:rsidP="002F1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3ECA" w14:textId="77777777" w:rsidR="002F1C83" w:rsidRPr="002F1C83" w:rsidRDefault="002F1C83" w:rsidP="002F1C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388,000</w:t>
            </w:r>
          </w:p>
        </w:tc>
      </w:tr>
      <w:tr w:rsidR="002F1C83" w:rsidRPr="002F1C83" w14:paraId="39DE0F5E" w14:textId="77777777" w:rsidTr="002F1C83">
        <w:trPr>
          <w:trHeight w:val="214"/>
        </w:trPr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B511" w14:textId="77777777" w:rsidR="002F1C83" w:rsidRPr="002F1C83" w:rsidRDefault="002F1C83" w:rsidP="002F1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Food sales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1F13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485,000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E3D6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0.80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4A9A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388,000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E92F" w14:textId="77777777" w:rsidR="002F1C83" w:rsidRPr="002F1C83" w:rsidRDefault="002F1C83" w:rsidP="002F1C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50,000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9800" w14:textId="77777777" w:rsidR="002F1C83" w:rsidRPr="002F1C83" w:rsidRDefault="002F1C83" w:rsidP="002F1C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338,000</w:t>
            </w:r>
          </w:p>
        </w:tc>
      </w:tr>
    </w:tbl>
    <w:p w14:paraId="17005B0C" w14:textId="77777777" w:rsidR="002F1C83" w:rsidRDefault="002F1C83" w:rsidP="00FC6FBA">
      <w:pPr>
        <w:spacing w:after="0"/>
      </w:pPr>
    </w:p>
    <w:p w14:paraId="03B1A34B" w14:textId="77777777" w:rsidR="002F1C83" w:rsidRDefault="002F1C83">
      <w:r>
        <w:t xml:space="preserve">Calculation of NAV </w:t>
      </w:r>
    </w:p>
    <w:tbl>
      <w:tblPr>
        <w:tblW w:w="5059" w:type="dxa"/>
        <w:tblInd w:w="-5" w:type="dxa"/>
        <w:tblLook w:val="04A0" w:firstRow="1" w:lastRow="0" w:firstColumn="1" w:lastColumn="0" w:noHBand="0" w:noVBand="1"/>
      </w:tblPr>
      <w:tblGrid>
        <w:gridCol w:w="1905"/>
        <w:gridCol w:w="1577"/>
        <w:gridCol w:w="1577"/>
      </w:tblGrid>
      <w:tr w:rsidR="002F1C83" w:rsidRPr="002F1C83" w14:paraId="7C07B124" w14:textId="77777777" w:rsidTr="002F1C83">
        <w:trPr>
          <w:trHeight w:val="22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361B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Adopt FMT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9D0D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%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BD22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NAV</w:t>
            </w:r>
          </w:p>
        </w:tc>
      </w:tr>
      <w:tr w:rsidR="002F1C83" w:rsidRPr="002F1C83" w14:paraId="0CF7A1B6" w14:textId="77777777" w:rsidTr="002F1C83">
        <w:trPr>
          <w:trHeight w:val="223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B294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388,000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C563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0.06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36D7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23,280</w:t>
            </w:r>
          </w:p>
        </w:tc>
      </w:tr>
      <w:tr w:rsidR="002F1C83" w:rsidRPr="002F1C83" w14:paraId="1A357929" w14:textId="77777777" w:rsidTr="002F1C83">
        <w:trPr>
          <w:trHeight w:val="223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8129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338,000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C4A9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0.05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34CE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16,900</w:t>
            </w:r>
          </w:p>
        </w:tc>
      </w:tr>
      <w:tr w:rsidR="002F1C83" w:rsidRPr="002F1C83" w14:paraId="34E50A77" w14:textId="77777777" w:rsidTr="002F1C83">
        <w:trPr>
          <w:trHeight w:val="223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E7D3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508A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625D6B2A" w14:textId="77777777" w:rsidR="002F1C83" w:rsidRPr="002F1C83" w:rsidRDefault="002F1C83" w:rsidP="002F1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£</w:t>
            </w:r>
            <w:r w:rsidRPr="002F1C83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40,180</w:t>
            </w:r>
          </w:p>
        </w:tc>
      </w:tr>
    </w:tbl>
    <w:p w14:paraId="51CF59C3" w14:textId="77777777" w:rsidR="002F1C83" w:rsidRDefault="002F1C83" w:rsidP="00FC6FBA">
      <w:pPr>
        <w:spacing w:after="0"/>
      </w:pPr>
    </w:p>
    <w:p w14:paraId="1AB36236" w14:textId="77777777" w:rsidR="00BF5A62" w:rsidRPr="00BF5A62" w:rsidRDefault="00BF5A62" w:rsidP="00BF5A62">
      <w:pPr>
        <w:rPr>
          <w:b/>
        </w:rPr>
      </w:pPr>
      <w:r w:rsidRPr="00BF5A62">
        <w:rPr>
          <w:b/>
        </w:rPr>
        <w:t>Example B</w:t>
      </w:r>
    </w:p>
    <w:p w14:paraId="6ECB7952" w14:textId="77777777" w:rsidR="00BF5A62" w:rsidRDefault="00110A06" w:rsidP="00BF5A62">
      <w:proofErr w:type="spellStart"/>
      <w:r>
        <w:t>Reval</w:t>
      </w:r>
      <w:proofErr w:type="spellEnd"/>
      <w:r>
        <w:t xml:space="preserve"> 2020 </w:t>
      </w:r>
      <w:r w:rsidR="00BF5A62">
        <w:t xml:space="preserve">Approach  </w:t>
      </w:r>
    </w:p>
    <w:tbl>
      <w:tblPr>
        <w:tblW w:w="4000" w:type="dxa"/>
        <w:tblInd w:w="-5" w:type="dxa"/>
        <w:tblLook w:val="04A0" w:firstRow="1" w:lastRow="0" w:firstColumn="1" w:lastColumn="0" w:noHBand="0" w:noVBand="1"/>
      </w:tblPr>
      <w:tblGrid>
        <w:gridCol w:w="1120"/>
        <w:gridCol w:w="960"/>
        <w:gridCol w:w="1090"/>
        <w:gridCol w:w="960"/>
      </w:tblGrid>
      <w:tr w:rsidR="00BF5A62" w:rsidRPr="00EA4709" w14:paraId="7810BCF6" w14:textId="77777777" w:rsidTr="00AA0C7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387A" w14:textId="77777777" w:rsidR="00BF5A62" w:rsidRPr="00EA4709" w:rsidRDefault="00BF5A62" w:rsidP="00AA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Stream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5333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FMT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8BD1" w14:textId="77777777" w:rsidR="00BF5A62" w:rsidRPr="00EA4709" w:rsidRDefault="00BF5A62" w:rsidP="00AA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Weighted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A4EB" w14:textId="77777777" w:rsidR="00BF5A62" w:rsidRPr="00EA4709" w:rsidRDefault="00BF5A62" w:rsidP="00AA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Adopt </w:t>
            </w:r>
          </w:p>
        </w:tc>
      </w:tr>
      <w:tr w:rsidR="00BF5A62" w:rsidRPr="00EA4709" w14:paraId="68B9B99D" w14:textId="77777777" w:rsidTr="00AA0C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114B" w14:textId="77777777" w:rsidR="00BF5A62" w:rsidRPr="00EA4709" w:rsidRDefault="00BF5A62" w:rsidP="00AA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On sales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41B0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525,000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D5CD" w14:textId="77777777" w:rsidR="00BF5A62" w:rsidRPr="00EA4709" w:rsidRDefault="00BF5A62" w:rsidP="00AA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03A5" w14:textId="77777777" w:rsidR="00BF5A62" w:rsidRPr="00EA4709" w:rsidRDefault="00BF5A62" w:rsidP="00AA0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525,000</w:t>
            </w:r>
          </w:p>
        </w:tc>
      </w:tr>
      <w:tr w:rsidR="00BF5A62" w:rsidRPr="00EA4709" w14:paraId="05B1AFA4" w14:textId="77777777" w:rsidTr="00AA0C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B2B9" w14:textId="77777777" w:rsidR="00BF5A62" w:rsidRPr="00EA4709" w:rsidRDefault="00BF5A62" w:rsidP="00AA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Food sales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3242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D9A8" w14:textId="77777777" w:rsidR="00BF5A62" w:rsidRPr="00EA4709" w:rsidRDefault="00BF5A62" w:rsidP="00AA0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C70A" w14:textId="77777777" w:rsidR="00BF5A62" w:rsidRPr="00EA4709" w:rsidRDefault="00BF5A62" w:rsidP="00AA0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200,000</w:t>
            </w:r>
          </w:p>
        </w:tc>
      </w:tr>
    </w:tbl>
    <w:p w14:paraId="0CABD45D" w14:textId="77777777" w:rsidR="00BF5A62" w:rsidRDefault="00BF5A62" w:rsidP="00BF5A62"/>
    <w:p w14:paraId="36FEA696" w14:textId="77777777" w:rsidR="00BF5A62" w:rsidRDefault="00BF5A62" w:rsidP="00BF5A62">
      <w:r>
        <w:t>Calculation of NAV</w:t>
      </w:r>
    </w:p>
    <w:tbl>
      <w:tblPr>
        <w:tblW w:w="4165" w:type="dxa"/>
        <w:tblInd w:w="-5" w:type="dxa"/>
        <w:tblLook w:val="04A0" w:firstRow="1" w:lastRow="0" w:firstColumn="1" w:lastColumn="0" w:noHBand="0" w:noVBand="1"/>
      </w:tblPr>
      <w:tblGrid>
        <w:gridCol w:w="1569"/>
        <w:gridCol w:w="1298"/>
        <w:gridCol w:w="1298"/>
      </w:tblGrid>
      <w:tr w:rsidR="00BF5A62" w:rsidRPr="00EA4709" w14:paraId="11BF3F14" w14:textId="77777777" w:rsidTr="00C65D69">
        <w:trPr>
          <w:trHeight w:val="210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A82D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Adopt FMT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9E77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%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0616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NAV</w:t>
            </w:r>
          </w:p>
        </w:tc>
      </w:tr>
      <w:tr w:rsidR="00BF5A62" w:rsidRPr="00EA4709" w14:paraId="49596961" w14:textId="77777777" w:rsidTr="00C65D69">
        <w:trPr>
          <w:trHeight w:val="21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A7DF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525,000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0C65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0.07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7E98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36,750</w:t>
            </w:r>
          </w:p>
        </w:tc>
      </w:tr>
      <w:tr w:rsidR="00BF5A62" w:rsidRPr="00EA4709" w14:paraId="19A28F76" w14:textId="77777777" w:rsidTr="00C65D69">
        <w:trPr>
          <w:trHeight w:val="21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981E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200,000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5D42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0.05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AD2E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10,000</w:t>
            </w:r>
          </w:p>
        </w:tc>
      </w:tr>
      <w:tr w:rsidR="00BF5A62" w:rsidRPr="00EA4709" w14:paraId="1D50E7F6" w14:textId="77777777" w:rsidTr="00C65D69">
        <w:trPr>
          <w:trHeight w:val="210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5BDD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F764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7DC58374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£</w:t>
            </w: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46,750</w:t>
            </w:r>
          </w:p>
        </w:tc>
      </w:tr>
    </w:tbl>
    <w:p w14:paraId="43DF94B8" w14:textId="77777777" w:rsidR="006B07A0" w:rsidRDefault="006B07A0" w:rsidP="00BF5A62"/>
    <w:p w14:paraId="73593434" w14:textId="77777777" w:rsidR="00BF5A62" w:rsidRDefault="00BF5A62" w:rsidP="00BF5A62">
      <w:proofErr w:type="spellStart"/>
      <w:r>
        <w:t>Reval</w:t>
      </w:r>
      <w:proofErr w:type="spellEnd"/>
      <w:r>
        <w:t xml:space="preserve"> 2023 Approach </w:t>
      </w:r>
    </w:p>
    <w:tbl>
      <w:tblPr>
        <w:tblW w:w="5920" w:type="dxa"/>
        <w:tblInd w:w="-5" w:type="dxa"/>
        <w:tblLook w:val="04A0" w:firstRow="1" w:lastRow="0" w:firstColumn="1" w:lastColumn="0" w:noHBand="0" w:noVBand="1"/>
      </w:tblPr>
      <w:tblGrid>
        <w:gridCol w:w="1120"/>
        <w:gridCol w:w="960"/>
        <w:gridCol w:w="1240"/>
        <w:gridCol w:w="960"/>
        <w:gridCol w:w="1090"/>
        <w:gridCol w:w="960"/>
      </w:tblGrid>
      <w:tr w:rsidR="00BF5A62" w:rsidRPr="00EA4709" w14:paraId="450E2F21" w14:textId="77777777" w:rsidTr="00AA0C7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952B" w14:textId="77777777" w:rsidR="00BF5A62" w:rsidRPr="00EA4709" w:rsidRDefault="00BF5A62" w:rsidP="00AA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Stream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6A36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FMT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806B" w14:textId="77777777" w:rsidR="00BF5A62" w:rsidRPr="00EA4709" w:rsidRDefault="00110A06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Reval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2023 adjustment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6ACE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Adj</w:t>
            </w:r>
            <w:proofErr w:type="spellEnd"/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FMT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23D2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Weighted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17F7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adopt </w:t>
            </w:r>
          </w:p>
        </w:tc>
      </w:tr>
      <w:tr w:rsidR="00BF5A62" w:rsidRPr="00EA4709" w14:paraId="20D8DA14" w14:textId="77777777" w:rsidTr="00AA0C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DB01" w14:textId="77777777" w:rsidR="00BF5A62" w:rsidRPr="00EA4709" w:rsidRDefault="00BF5A62" w:rsidP="00AA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On sales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A348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525,000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ECE8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0.80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3B67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420,000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9DF6" w14:textId="77777777" w:rsidR="00BF5A62" w:rsidRPr="00EA4709" w:rsidRDefault="00BF5A62" w:rsidP="00AA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9B0C" w14:textId="77777777" w:rsidR="00BF5A62" w:rsidRPr="00EA4709" w:rsidRDefault="00BF5A62" w:rsidP="00AA0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420,000</w:t>
            </w:r>
          </w:p>
        </w:tc>
      </w:tr>
      <w:tr w:rsidR="00BF5A62" w:rsidRPr="00EA4709" w14:paraId="1FBC816E" w14:textId="77777777" w:rsidTr="00AA0C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E604" w14:textId="77777777" w:rsidR="00BF5A62" w:rsidRPr="00EA4709" w:rsidRDefault="00BF5A62" w:rsidP="00AA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Food sales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FC7F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7432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0.80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76C2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200,000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CD16" w14:textId="77777777" w:rsidR="00BF5A62" w:rsidRPr="00EA4709" w:rsidRDefault="00BF5A62" w:rsidP="00AA0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50,000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B251" w14:textId="77777777" w:rsidR="00BF5A62" w:rsidRPr="00EA4709" w:rsidRDefault="00BF5A62" w:rsidP="00AA0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150,000</w:t>
            </w:r>
          </w:p>
        </w:tc>
      </w:tr>
    </w:tbl>
    <w:p w14:paraId="1DBE0EB0" w14:textId="77777777" w:rsidR="00BF5A62" w:rsidRDefault="00BF5A62" w:rsidP="00BF5A62"/>
    <w:p w14:paraId="1F46327B" w14:textId="77777777" w:rsidR="00BF5A62" w:rsidRDefault="00BF5A62" w:rsidP="00BF5A62">
      <w:r>
        <w:t xml:space="preserve">Calculation of NAV </w:t>
      </w:r>
    </w:p>
    <w:tbl>
      <w:tblPr>
        <w:tblW w:w="5059" w:type="dxa"/>
        <w:tblInd w:w="-5" w:type="dxa"/>
        <w:tblLook w:val="04A0" w:firstRow="1" w:lastRow="0" w:firstColumn="1" w:lastColumn="0" w:noHBand="0" w:noVBand="1"/>
      </w:tblPr>
      <w:tblGrid>
        <w:gridCol w:w="1905"/>
        <w:gridCol w:w="1577"/>
        <w:gridCol w:w="1577"/>
      </w:tblGrid>
      <w:tr w:rsidR="00BF5A62" w:rsidRPr="00EA4709" w14:paraId="578B8FE2" w14:textId="77777777" w:rsidTr="00AA0C7E">
        <w:trPr>
          <w:trHeight w:val="219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6988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Adopt FMT 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5FDF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%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C334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NAV</w:t>
            </w:r>
          </w:p>
        </w:tc>
      </w:tr>
      <w:tr w:rsidR="00BF5A62" w:rsidRPr="00EA4709" w14:paraId="0BDEDDA1" w14:textId="77777777" w:rsidTr="00AA0C7E">
        <w:trPr>
          <w:trHeight w:val="21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C3D2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420,000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0649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0.06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04CC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25,200</w:t>
            </w:r>
          </w:p>
        </w:tc>
      </w:tr>
      <w:tr w:rsidR="00BF5A62" w:rsidRPr="00EA4709" w14:paraId="6FCF9462" w14:textId="77777777" w:rsidTr="00AA0C7E">
        <w:trPr>
          <w:trHeight w:val="21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22F4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150,000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F70F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0.05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BD36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7,500</w:t>
            </w:r>
          </w:p>
        </w:tc>
      </w:tr>
      <w:tr w:rsidR="00BF5A62" w:rsidRPr="00EA4709" w14:paraId="4678C038" w14:textId="77777777" w:rsidTr="00AA0C7E">
        <w:trPr>
          <w:trHeight w:val="21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76A8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B2AC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5332754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£</w:t>
            </w: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32,700</w:t>
            </w:r>
          </w:p>
        </w:tc>
      </w:tr>
    </w:tbl>
    <w:p w14:paraId="2173042E" w14:textId="77777777" w:rsidR="00BF5A62" w:rsidRDefault="00BF5A62" w:rsidP="00BF5A62"/>
    <w:p w14:paraId="54741866" w14:textId="77777777" w:rsidR="00BF5A62" w:rsidRDefault="00BF5A62" w:rsidP="00BF5A62">
      <w:r>
        <w:t xml:space="preserve">Note </w:t>
      </w:r>
      <w:r w:rsidR="00110A06">
        <w:t xml:space="preserve">the approach in this example sees the </w:t>
      </w:r>
      <w:r>
        <w:t xml:space="preserve">percentage multiplier for on sales </w:t>
      </w:r>
      <w:r w:rsidR="000D4BDB">
        <w:t>changing</w:t>
      </w:r>
      <w:r w:rsidR="00110A06">
        <w:t xml:space="preserve"> </w:t>
      </w:r>
      <w:r>
        <w:t>from 7% (REVAL 2020) to 6% (REVAL 2023) due to</w:t>
      </w:r>
      <w:r w:rsidR="00E00F94">
        <w:t xml:space="preserve"> adjustment in</w:t>
      </w:r>
      <w:r>
        <w:t xml:space="preserve"> </w:t>
      </w:r>
      <w:r w:rsidR="00E00F94">
        <w:t xml:space="preserve">wet sales </w:t>
      </w:r>
      <w:r>
        <w:t>banding classification</w:t>
      </w:r>
      <w:r w:rsidR="000D4BDB">
        <w:t xml:space="preserve">. This </w:t>
      </w:r>
      <w:r w:rsidR="00110A06">
        <w:t>is to the benefit of the trader</w:t>
      </w:r>
      <w:r w:rsidR="00C34857">
        <w:t>.</w:t>
      </w:r>
      <w:r w:rsidR="00110A06">
        <w:t xml:space="preserve"> </w:t>
      </w:r>
    </w:p>
    <w:p w14:paraId="04D8EA08" w14:textId="77777777" w:rsidR="00342B9B" w:rsidRDefault="00342B9B"/>
    <w:p w14:paraId="1096FABE" w14:textId="77777777" w:rsidR="00342B9B" w:rsidRDefault="00342B9B"/>
    <w:p w14:paraId="0B1E0998" w14:textId="77777777" w:rsidR="00342B9B" w:rsidRDefault="00342B9B"/>
    <w:p w14:paraId="1A62B309" w14:textId="77777777" w:rsidR="00342B9B" w:rsidRDefault="00342B9B"/>
    <w:p w14:paraId="577B1731" w14:textId="77777777" w:rsidR="00342B9B" w:rsidRDefault="00342B9B"/>
    <w:p w14:paraId="2835921D" w14:textId="77777777" w:rsidR="00342B9B" w:rsidRDefault="00342B9B"/>
    <w:p w14:paraId="2A3317D0" w14:textId="77777777" w:rsidR="00342B9B" w:rsidRDefault="00342B9B"/>
    <w:p w14:paraId="05253FA9" w14:textId="77777777" w:rsidR="00342B9B" w:rsidRDefault="00342B9B"/>
    <w:p w14:paraId="0107F99C" w14:textId="77777777" w:rsidR="00342B9B" w:rsidRDefault="00342B9B"/>
    <w:p w14:paraId="29FF8687" w14:textId="77777777" w:rsidR="00BF5A62" w:rsidRDefault="00BF5A62"/>
    <w:p w14:paraId="4AD8AD01" w14:textId="77777777" w:rsidR="00BF5A62" w:rsidRDefault="00BF5A62"/>
    <w:p w14:paraId="7571DB09" w14:textId="77777777" w:rsidR="00BF5A62" w:rsidRDefault="00BF5A62"/>
    <w:p w14:paraId="2BECDE5C" w14:textId="77777777" w:rsidR="00BF5A62" w:rsidRDefault="00BF5A62"/>
    <w:p w14:paraId="391B2D17" w14:textId="77777777" w:rsidR="000D4BDB" w:rsidRDefault="000D4BDB"/>
    <w:p w14:paraId="629D91A3" w14:textId="77777777" w:rsidR="000D4BDB" w:rsidRDefault="000D4BDB"/>
    <w:p w14:paraId="51E90297" w14:textId="77777777" w:rsidR="00BF5A62" w:rsidRDefault="00BF5A62"/>
    <w:p w14:paraId="731535AA" w14:textId="77777777" w:rsidR="00C34857" w:rsidRDefault="00C34857">
      <w:pPr>
        <w:rPr>
          <w:b/>
        </w:rPr>
      </w:pPr>
    </w:p>
    <w:p w14:paraId="0FB8C0A8" w14:textId="77777777" w:rsidR="00C65D69" w:rsidRDefault="00C65D69">
      <w:pPr>
        <w:rPr>
          <w:b/>
        </w:rPr>
      </w:pPr>
    </w:p>
    <w:p w14:paraId="3DC3B749" w14:textId="77777777" w:rsidR="00C65D69" w:rsidRDefault="00C65D69">
      <w:pPr>
        <w:rPr>
          <w:b/>
        </w:rPr>
      </w:pPr>
    </w:p>
    <w:p w14:paraId="185B4596" w14:textId="77777777" w:rsidR="00C34857" w:rsidRDefault="00342B9B">
      <w:pPr>
        <w:rPr>
          <w:b/>
        </w:rPr>
      </w:pPr>
      <w:r>
        <w:rPr>
          <w:b/>
        </w:rPr>
        <w:t xml:space="preserve">Hotels </w:t>
      </w:r>
    </w:p>
    <w:p w14:paraId="00894BB6" w14:textId="77777777" w:rsidR="00342B9B" w:rsidRDefault="000D4BDB">
      <w:pPr>
        <w:rPr>
          <w:b/>
        </w:rPr>
      </w:pPr>
      <w:proofErr w:type="spellStart"/>
      <w:r>
        <w:rPr>
          <w:b/>
        </w:rPr>
        <w:t>Reval</w:t>
      </w:r>
      <w:proofErr w:type="spellEnd"/>
      <w:r>
        <w:rPr>
          <w:b/>
        </w:rPr>
        <w:t xml:space="preserve"> 2020 </w:t>
      </w:r>
      <w:r w:rsidR="00342B9B">
        <w:rPr>
          <w:b/>
        </w:rPr>
        <w:t>Valuation Approach</w:t>
      </w:r>
    </w:p>
    <w:p w14:paraId="2E2A2BC8" w14:textId="77777777" w:rsidR="00536C2E" w:rsidRPr="00342B9B" w:rsidRDefault="00536C2E" w:rsidP="00342B9B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approach for </w:t>
      </w:r>
      <w:proofErr w:type="gramStart"/>
      <w:r>
        <w:rPr>
          <w:rFonts w:ascii="Arial" w:hAnsi="Arial" w:cs="Arial"/>
        </w:rPr>
        <w:t>Hotels</w:t>
      </w:r>
      <w:proofErr w:type="gramEnd"/>
      <w:r>
        <w:rPr>
          <w:rFonts w:ascii="Arial" w:hAnsi="Arial" w:cs="Arial"/>
        </w:rPr>
        <w:t xml:space="preserve"> is also Receipts and Expenditure </w:t>
      </w:r>
    </w:p>
    <w:p w14:paraId="22DE6702" w14:textId="77777777" w:rsidR="00342B9B" w:rsidRPr="00BF5A62" w:rsidRDefault="00342B9B" w:rsidP="00342B9B">
      <w:pPr>
        <w:pStyle w:val="ListParagraph"/>
        <w:numPr>
          <w:ilvl w:val="0"/>
          <w:numId w:val="4"/>
        </w:numPr>
        <w:rPr>
          <w:rFonts w:ascii="Arial" w:hAnsi="Arial" w:cs="Arial"/>
          <w:b/>
        </w:rPr>
      </w:pPr>
      <w:r w:rsidRPr="00342B9B">
        <w:rPr>
          <w:rFonts w:ascii="Arial" w:hAnsi="Arial" w:cs="Arial"/>
        </w:rPr>
        <w:t>The income streams comprise of 3 classifications</w:t>
      </w:r>
    </w:p>
    <w:p w14:paraId="4922846A" w14:textId="77777777" w:rsidR="00BF5A62" w:rsidRPr="00342B9B" w:rsidRDefault="00BF5A62" w:rsidP="00BF5A62">
      <w:pPr>
        <w:pStyle w:val="ListParagraph"/>
        <w:ind w:left="420"/>
        <w:rPr>
          <w:rFonts w:ascii="Arial" w:hAnsi="Arial" w:cs="Arial"/>
          <w:b/>
        </w:rPr>
      </w:pPr>
    </w:p>
    <w:p w14:paraId="4C3EC00B" w14:textId="77777777" w:rsidR="00342B9B" w:rsidRPr="00342B9B" w:rsidRDefault="00342B9B" w:rsidP="00342B9B">
      <w:pPr>
        <w:pStyle w:val="ListParagraph"/>
        <w:numPr>
          <w:ilvl w:val="1"/>
          <w:numId w:val="4"/>
        </w:numPr>
        <w:rPr>
          <w:rFonts w:ascii="Arial" w:hAnsi="Arial" w:cs="Arial"/>
          <w:b/>
        </w:rPr>
      </w:pPr>
      <w:r w:rsidRPr="00342B9B">
        <w:rPr>
          <w:rFonts w:ascii="Arial" w:hAnsi="Arial" w:cs="Arial"/>
        </w:rPr>
        <w:t>Accommodation</w:t>
      </w:r>
    </w:p>
    <w:p w14:paraId="1E5A4CF3" w14:textId="77777777" w:rsidR="00342B9B" w:rsidRPr="00342B9B" w:rsidRDefault="00342B9B" w:rsidP="00342B9B">
      <w:pPr>
        <w:pStyle w:val="ListParagraph"/>
        <w:numPr>
          <w:ilvl w:val="1"/>
          <w:numId w:val="4"/>
        </w:numPr>
        <w:rPr>
          <w:rFonts w:ascii="Arial" w:hAnsi="Arial" w:cs="Arial"/>
          <w:b/>
        </w:rPr>
      </w:pPr>
      <w:r w:rsidRPr="00342B9B">
        <w:rPr>
          <w:rFonts w:ascii="Arial" w:hAnsi="Arial" w:cs="Arial"/>
        </w:rPr>
        <w:t>Drink</w:t>
      </w:r>
    </w:p>
    <w:p w14:paraId="0946CFC9" w14:textId="77777777" w:rsidR="00342B9B" w:rsidRPr="00BF5A62" w:rsidRDefault="00342B9B" w:rsidP="00342B9B">
      <w:pPr>
        <w:pStyle w:val="ListParagraph"/>
        <w:numPr>
          <w:ilvl w:val="1"/>
          <w:numId w:val="4"/>
        </w:numPr>
        <w:rPr>
          <w:rFonts w:ascii="Arial" w:hAnsi="Arial" w:cs="Arial"/>
          <w:b/>
        </w:rPr>
      </w:pPr>
      <w:r w:rsidRPr="00342B9B">
        <w:rPr>
          <w:rFonts w:ascii="Arial" w:hAnsi="Arial" w:cs="Arial"/>
        </w:rPr>
        <w:t>Food</w:t>
      </w:r>
    </w:p>
    <w:p w14:paraId="7C9E0CC3" w14:textId="77777777" w:rsidR="00BF5A62" w:rsidRPr="00342B9B" w:rsidRDefault="00BF5A62" w:rsidP="00BF5A62">
      <w:pPr>
        <w:pStyle w:val="ListParagraph"/>
        <w:ind w:left="1440"/>
        <w:rPr>
          <w:rFonts w:ascii="Arial" w:hAnsi="Arial" w:cs="Arial"/>
          <w:b/>
        </w:rPr>
      </w:pPr>
    </w:p>
    <w:p w14:paraId="565C7E43" w14:textId="77777777" w:rsidR="00342B9B" w:rsidRPr="00342B9B" w:rsidRDefault="00342B9B" w:rsidP="00342B9B">
      <w:pPr>
        <w:pStyle w:val="ListParagraph"/>
        <w:numPr>
          <w:ilvl w:val="0"/>
          <w:numId w:val="10"/>
        </w:numPr>
        <w:ind w:left="426" w:hanging="426"/>
        <w:rPr>
          <w:rFonts w:ascii="Arial" w:hAnsi="Arial" w:cs="Arial"/>
          <w:b/>
        </w:rPr>
      </w:pPr>
      <w:r w:rsidRPr="00342B9B">
        <w:rPr>
          <w:rFonts w:ascii="Arial" w:hAnsi="Arial" w:cs="Arial"/>
        </w:rPr>
        <w:t xml:space="preserve">Once the Fair Maintainable Trade (FMT) is established for each income stream the following is applied as per table </w:t>
      </w:r>
      <w:proofErr w:type="gramStart"/>
      <w:r w:rsidRPr="00342B9B">
        <w:rPr>
          <w:rFonts w:ascii="Arial" w:hAnsi="Arial" w:cs="Arial"/>
        </w:rPr>
        <w:t>below;</w:t>
      </w:r>
      <w:proofErr w:type="gramEnd"/>
    </w:p>
    <w:p w14:paraId="3564C00F" w14:textId="77777777" w:rsidR="00342B9B" w:rsidRDefault="00342B9B" w:rsidP="00342B9B">
      <w:pPr>
        <w:jc w:val="center"/>
      </w:pPr>
      <w:r>
        <w:rPr>
          <w:noProof/>
          <w:lang w:eastAsia="en-GB"/>
        </w:rPr>
        <w:drawing>
          <wp:inline distT="0" distB="0" distL="0" distR="0" wp14:anchorId="0B6100D3" wp14:editId="2369507B">
            <wp:extent cx="4630420" cy="948461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831" cy="96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8D29E" w14:textId="77777777" w:rsidR="00342B9B" w:rsidRPr="00342B9B" w:rsidRDefault="00BF5A62" w:rsidP="00342B9B">
      <w:pPr>
        <w:pStyle w:val="ListParagraph"/>
        <w:numPr>
          <w:ilvl w:val="0"/>
          <w:numId w:val="10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42B9B" w:rsidRPr="00342B9B">
        <w:rPr>
          <w:rFonts w:ascii="Arial" w:hAnsi="Arial" w:cs="Arial"/>
        </w:rPr>
        <w:t xml:space="preserve">he combined amount equates to the </w:t>
      </w:r>
      <w:r>
        <w:rPr>
          <w:rFonts w:ascii="Arial" w:hAnsi="Arial" w:cs="Arial"/>
        </w:rPr>
        <w:t>NAV</w:t>
      </w:r>
    </w:p>
    <w:p w14:paraId="3A24E911" w14:textId="77777777" w:rsidR="00342B9B" w:rsidRDefault="00342B9B" w:rsidP="00FC6FBA">
      <w:pPr>
        <w:pStyle w:val="ListParagraph"/>
        <w:spacing w:after="0"/>
        <w:ind w:left="567"/>
        <w:jc w:val="both"/>
      </w:pPr>
    </w:p>
    <w:p w14:paraId="350DF9C8" w14:textId="77777777" w:rsidR="00BF5A62" w:rsidRPr="00EA4709" w:rsidRDefault="00273C95" w:rsidP="00BF5A62">
      <w:pPr>
        <w:rPr>
          <w:b/>
        </w:rPr>
      </w:pPr>
      <w:r>
        <w:rPr>
          <w:b/>
        </w:rPr>
        <w:t xml:space="preserve">Proposed Approach for </w:t>
      </w:r>
      <w:proofErr w:type="spellStart"/>
      <w:r w:rsidR="00BF5A62" w:rsidRPr="00EA4709">
        <w:rPr>
          <w:b/>
        </w:rPr>
        <w:t>Reval</w:t>
      </w:r>
      <w:proofErr w:type="spellEnd"/>
      <w:r w:rsidR="00BF5A62" w:rsidRPr="00EA4709">
        <w:rPr>
          <w:b/>
        </w:rPr>
        <w:t xml:space="preserve"> 20</w:t>
      </w:r>
      <w:r w:rsidR="00BF5A62">
        <w:rPr>
          <w:b/>
        </w:rPr>
        <w:t>23</w:t>
      </w:r>
    </w:p>
    <w:p w14:paraId="743447DE" w14:textId="77777777" w:rsidR="00BF5A62" w:rsidRDefault="00BF5A62" w:rsidP="00BF5A62">
      <w:r>
        <w:t>The existing approach will be maintained but an additional step will be added.</w:t>
      </w:r>
    </w:p>
    <w:p w14:paraId="14B6042A" w14:textId="77777777" w:rsidR="001C0BB7" w:rsidRDefault="00855F3C" w:rsidP="00C65D69">
      <w:pPr>
        <w:jc w:val="both"/>
      </w:pPr>
      <w:r>
        <w:t>Once the pre-covid FMT is estimated a factor of 0.7 will be applied to it, reflecting within the 2023 NAV the impact of economic conditions at the Valuation Date and the predicted gradual return to pre-covid trading patterns.</w:t>
      </w:r>
    </w:p>
    <w:p w14:paraId="25CA841E" w14:textId="77777777" w:rsidR="001C0BB7" w:rsidRDefault="001C0BB7" w:rsidP="001C0BB7">
      <w:pPr>
        <w:rPr>
          <w:b/>
        </w:rPr>
      </w:pPr>
      <w:r>
        <w:rPr>
          <w:b/>
        </w:rPr>
        <w:t xml:space="preserve">Example – standard </w:t>
      </w:r>
      <w:proofErr w:type="gramStart"/>
      <w:r>
        <w:rPr>
          <w:b/>
        </w:rPr>
        <w:t>3 star</w:t>
      </w:r>
      <w:proofErr w:type="gramEnd"/>
      <w:r>
        <w:rPr>
          <w:b/>
        </w:rPr>
        <w:t xml:space="preserve"> hotel</w:t>
      </w:r>
    </w:p>
    <w:p w14:paraId="653B49F7" w14:textId="77777777" w:rsidR="001C0BB7" w:rsidRDefault="001C0BB7" w:rsidP="001C0BB7">
      <w:r>
        <w:t xml:space="preserve">For illustrative purposes only, the example below uses the same Fair Maintainable Trade for </w:t>
      </w:r>
      <w:proofErr w:type="spellStart"/>
      <w:r>
        <w:t>Reval</w:t>
      </w:r>
      <w:proofErr w:type="spellEnd"/>
      <w:r>
        <w:t xml:space="preserve"> 2020 and </w:t>
      </w:r>
      <w:proofErr w:type="spellStart"/>
      <w:r>
        <w:t>Reval</w:t>
      </w:r>
      <w:proofErr w:type="spellEnd"/>
      <w:r>
        <w:t xml:space="preserve"> 2023. </w:t>
      </w:r>
    </w:p>
    <w:p w14:paraId="2E91651E" w14:textId="77777777" w:rsidR="001C0BB7" w:rsidRDefault="001C0BB7" w:rsidP="00BF5A62">
      <w:r>
        <w:t xml:space="preserve">The actual FMT adopted for </w:t>
      </w:r>
      <w:proofErr w:type="spellStart"/>
      <w:r>
        <w:t>Reval</w:t>
      </w:r>
      <w:proofErr w:type="spellEnd"/>
      <w:r>
        <w:t xml:space="preserve"> 2023 will be reviewed as part of the Revaluation process and may be higher or lower than that adopted for </w:t>
      </w:r>
      <w:proofErr w:type="spellStart"/>
      <w:r>
        <w:t>Reval</w:t>
      </w:r>
      <w:proofErr w:type="spellEnd"/>
      <w:r>
        <w:t xml:space="preserve"> 2020.</w:t>
      </w:r>
    </w:p>
    <w:p w14:paraId="1AE10851" w14:textId="77777777" w:rsidR="00B4426D" w:rsidRPr="00B4426D" w:rsidRDefault="000D4BDB" w:rsidP="00BF5A62">
      <w:proofErr w:type="spellStart"/>
      <w:r>
        <w:t>Reval</w:t>
      </w:r>
      <w:proofErr w:type="spellEnd"/>
      <w:r>
        <w:t xml:space="preserve"> 2020 </w:t>
      </w:r>
      <w:r w:rsidR="00B4426D">
        <w:t>Approach</w:t>
      </w:r>
    </w:p>
    <w:tbl>
      <w:tblPr>
        <w:tblW w:w="4002" w:type="dxa"/>
        <w:tblInd w:w="-5" w:type="dxa"/>
        <w:tblLook w:val="04A0" w:firstRow="1" w:lastRow="0" w:firstColumn="1" w:lastColumn="0" w:noHBand="0" w:noVBand="1"/>
      </w:tblPr>
      <w:tblGrid>
        <w:gridCol w:w="1874"/>
        <w:gridCol w:w="1064"/>
        <w:gridCol w:w="1064"/>
      </w:tblGrid>
      <w:tr w:rsidR="00BF5A62" w:rsidRPr="00EA4709" w14:paraId="6D2850FC" w14:textId="77777777" w:rsidTr="00C65D69">
        <w:trPr>
          <w:trHeight w:val="290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CBCA" w14:textId="77777777" w:rsidR="00BF5A62" w:rsidRPr="00EA4709" w:rsidRDefault="00BF5A62" w:rsidP="00AA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Stream 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DF58" w14:textId="77777777" w:rsidR="00BF5A62" w:rsidRPr="00EA4709" w:rsidRDefault="00BF5A62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FMT 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2070" w14:textId="77777777" w:rsidR="00BF5A62" w:rsidRPr="00EA4709" w:rsidRDefault="00BF5A62" w:rsidP="00AA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Adopt </w:t>
            </w:r>
          </w:p>
        </w:tc>
      </w:tr>
      <w:tr w:rsidR="00BF5A62" w:rsidRPr="00EA4709" w14:paraId="1ADFB806" w14:textId="77777777" w:rsidTr="00C65D69">
        <w:trPr>
          <w:trHeight w:val="290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CDC1" w14:textId="77777777" w:rsidR="00BF5A62" w:rsidRPr="00EA4709" w:rsidRDefault="00BF5A62" w:rsidP="00AA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Accommodation</w:t>
            </w: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48D8" w14:textId="77777777" w:rsidR="00BF5A62" w:rsidRPr="00EA4709" w:rsidRDefault="00B4426D" w:rsidP="00BF5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400</w:t>
            </w:r>
            <w:r w:rsidR="00BF5A62"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,</w:t>
            </w:r>
            <w:r w:rsidR="00BF5A62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573F" w14:textId="77777777" w:rsidR="00BF5A62" w:rsidRPr="00EA4709" w:rsidRDefault="00B4426D" w:rsidP="00AA0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400</w:t>
            </w:r>
            <w:r w:rsidR="00BF5A62"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,000</w:t>
            </w:r>
          </w:p>
        </w:tc>
      </w:tr>
      <w:tr w:rsidR="00BF5A62" w:rsidRPr="00EA4709" w14:paraId="5F8B8276" w14:textId="77777777" w:rsidTr="00C65D69">
        <w:trPr>
          <w:trHeight w:val="290"/>
        </w:trPr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7122" w14:textId="77777777" w:rsidR="00BF5A62" w:rsidRPr="00EA4709" w:rsidRDefault="00BF5A62" w:rsidP="00AA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Drink</w:t>
            </w: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EC9D" w14:textId="77777777" w:rsidR="00BF5A62" w:rsidRPr="00EA4709" w:rsidRDefault="00B4426D" w:rsidP="00BF5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100</w:t>
            </w:r>
            <w:r w:rsidR="00BF5A62"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,</w:t>
            </w:r>
            <w:r w:rsidR="00BF5A62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EC8B" w14:textId="77777777" w:rsidR="00BF5A62" w:rsidRPr="00EA4709" w:rsidRDefault="00B4426D" w:rsidP="00AA0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</w:t>
            </w:r>
            <w:r w:rsidR="00BF5A62"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00,000</w:t>
            </w:r>
          </w:p>
        </w:tc>
      </w:tr>
      <w:tr w:rsidR="00BF5A62" w:rsidRPr="00EA4709" w14:paraId="118614DD" w14:textId="77777777" w:rsidTr="00C65D69">
        <w:trPr>
          <w:trHeight w:val="290"/>
        </w:trPr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8DBBC" w14:textId="77777777" w:rsidR="00BF5A62" w:rsidRDefault="00BF5A62" w:rsidP="00AA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Food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2803C" w14:textId="77777777" w:rsidR="00BF5A62" w:rsidRPr="00EA4709" w:rsidRDefault="00B4426D" w:rsidP="00BF5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150,123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E3579" w14:textId="77777777" w:rsidR="00BF5A62" w:rsidRPr="00EA4709" w:rsidRDefault="00B4426D" w:rsidP="00B442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150,000</w:t>
            </w:r>
          </w:p>
        </w:tc>
      </w:tr>
    </w:tbl>
    <w:p w14:paraId="5FDB2BB7" w14:textId="77777777" w:rsidR="00C65D69" w:rsidRDefault="00C65D69" w:rsidP="00FC6FBA">
      <w:pPr>
        <w:spacing w:after="0"/>
      </w:pPr>
    </w:p>
    <w:p w14:paraId="7628E59E" w14:textId="77777777" w:rsidR="00B4426D" w:rsidRDefault="00B4426D" w:rsidP="00BF5A62">
      <w:r>
        <w:t>Calculation of NAV</w:t>
      </w:r>
    </w:p>
    <w:tbl>
      <w:tblPr>
        <w:tblW w:w="3975" w:type="dxa"/>
        <w:tblInd w:w="-5" w:type="dxa"/>
        <w:tblLook w:val="04A0" w:firstRow="1" w:lastRow="0" w:firstColumn="1" w:lastColumn="0" w:noHBand="0" w:noVBand="1"/>
      </w:tblPr>
      <w:tblGrid>
        <w:gridCol w:w="1497"/>
        <w:gridCol w:w="1239"/>
        <w:gridCol w:w="1239"/>
      </w:tblGrid>
      <w:tr w:rsidR="00B4426D" w:rsidRPr="00EA4709" w14:paraId="064BB5E7" w14:textId="77777777" w:rsidTr="00C65D69">
        <w:trPr>
          <w:trHeight w:val="271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CBF2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Adopt FMT 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CBF8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%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C6C0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NAV</w:t>
            </w:r>
          </w:p>
        </w:tc>
      </w:tr>
      <w:tr w:rsidR="00B4426D" w:rsidRPr="00EA4709" w14:paraId="41AB94B3" w14:textId="77777777" w:rsidTr="00C65D69">
        <w:trPr>
          <w:trHeight w:val="271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2607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400,000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9C7A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5.5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EE88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22,000</w:t>
            </w:r>
          </w:p>
        </w:tc>
      </w:tr>
      <w:tr w:rsidR="00B4426D" w:rsidRPr="00EA4709" w14:paraId="23CFD48C" w14:textId="77777777" w:rsidTr="00C65D69">
        <w:trPr>
          <w:trHeight w:val="271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60D4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100,000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A200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8C93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5,000</w:t>
            </w:r>
          </w:p>
        </w:tc>
      </w:tr>
      <w:tr w:rsidR="00B4426D" w:rsidRPr="00EA4709" w14:paraId="0ABE7232" w14:textId="77777777" w:rsidTr="00C65D69">
        <w:trPr>
          <w:trHeight w:val="271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9D3FA" w14:textId="77777777" w:rsidR="00B4426D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150,000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04D9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3.5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4C960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5,250</w:t>
            </w:r>
          </w:p>
        </w:tc>
      </w:tr>
      <w:tr w:rsidR="00B4426D" w:rsidRPr="00EA4709" w14:paraId="7391863E" w14:textId="77777777" w:rsidTr="00C65D69">
        <w:trPr>
          <w:trHeight w:val="271"/>
        </w:trPr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A7A1" w14:textId="77777777" w:rsidR="00B4426D" w:rsidRPr="00EA4709" w:rsidRDefault="00B4426D" w:rsidP="00B44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9F90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F7C0326" w14:textId="77777777" w:rsidR="00B4426D" w:rsidRPr="00EA4709" w:rsidRDefault="00B4426D" w:rsidP="00B44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£32,2</w:t>
            </w: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50</w:t>
            </w:r>
          </w:p>
        </w:tc>
      </w:tr>
    </w:tbl>
    <w:p w14:paraId="30D7F6A1" w14:textId="77777777" w:rsidR="00B4426D" w:rsidRDefault="00B4426D" w:rsidP="00B4426D">
      <w:proofErr w:type="spellStart"/>
      <w:r>
        <w:t>Reval</w:t>
      </w:r>
      <w:proofErr w:type="spellEnd"/>
      <w:r>
        <w:t xml:space="preserve"> 2023 Approach </w:t>
      </w:r>
    </w:p>
    <w:tbl>
      <w:tblPr>
        <w:tblW w:w="5653" w:type="dxa"/>
        <w:tblInd w:w="-5" w:type="dxa"/>
        <w:tblLook w:val="04A0" w:firstRow="1" w:lastRow="0" w:firstColumn="1" w:lastColumn="0" w:noHBand="0" w:noVBand="1"/>
      </w:tblPr>
      <w:tblGrid>
        <w:gridCol w:w="1690"/>
        <w:gridCol w:w="960"/>
        <w:gridCol w:w="1083"/>
        <w:gridCol w:w="960"/>
        <w:gridCol w:w="960"/>
      </w:tblGrid>
      <w:tr w:rsidR="00B4426D" w:rsidRPr="00EA4709" w14:paraId="2DC4B0FE" w14:textId="77777777" w:rsidTr="00B4426D">
        <w:trPr>
          <w:trHeight w:val="30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4CF0" w14:textId="77777777" w:rsidR="00B4426D" w:rsidRPr="00EA4709" w:rsidRDefault="00B4426D" w:rsidP="00AA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Stream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73D8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FMT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0B72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reduction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F66C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proofErr w:type="spellStart"/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Adj</w:t>
            </w:r>
            <w:proofErr w:type="spellEnd"/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FMT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5731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adopt </w:t>
            </w:r>
          </w:p>
        </w:tc>
      </w:tr>
      <w:tr w:rsidR="00B4426D" w:rsidRPr="00EA4709" w14:paraId="10E1B529" w14:textId="77777777" w:rsidTr="00B4426D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D0F8" w14:textId="77777777" w:rsidR="00B4426D" w:rsidRPr="00EA4709" w:rsidRDefault="00B4426D" w:rsidP="00AA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Accommodation</w:t>
            </w: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ABFB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400</w:t>
            </w: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,000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BFFC" w14:textId="77777777" w:rsidR="00B4426D" w:rsidRPr="00EA4709" w:rsidRDefault="00B4426D" w:rsidP="00B44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ED81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280</w:t>
            </w: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483B" w14:textId="77777777" w:rsidR="00B4426D" w:rsidRPr="00EA4709" w:rsidRDefault="00B4426D" w:rsidP="00AA0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280</w:t>
            </w: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,000</w:t>
            </w:r>
          </w:p>
        </w:tc>
      </w:tr>
      <w:tr w:rsidR="00B4426D" w:rsidRPr="00EA4709" w14:paraId="3EB655A2" w14:textId="77777777" w:rsidTr="00B4426D">
        <w:trPr>
          <w:trHeight w:val="300"/>
        </w:trPr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A270" w14:textId="77777777" w:rsidR="00B4426D" w:rsidRPr="00EA4709" w:rsidRDefault="00B4426D" w:rsidP="00AA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Drink</w:t>
            </w: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7389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100</w:t>
            </w: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,000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283C" w14:textId="77777777" w:rsidR="00B4426D" w:rsidRPr="00EA4709" w:rsidRDefault="00B4426D" w:rsidP="00B44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5AFE" w14:textId="77777777" w:rsidR="00B4426D" w:rsidRPr="00EA4709" w:rsidRDefault="00B4426D" w:rsidP="00B44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70,000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89E7" w14:textId="77777777" w:rsidR="00B4426D" w:rsidRPr="00EA4709" w:rsidRDefault="00B4426D" w:rsidP="00AA0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7</w:t>
            </w: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0,000</w:t>
            </w:r>
          </w:p>
        </w:tc>
      </w:tr>
      <w:tr w:rsidR="00B4426D" w:rsidRPr="00EA4709" w14:paraId="73AEADC8" w14:textId="77777777" w:rsidTr="00B4426D">
        <w:trPr>
          <w:trHeight w:val="300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00549" w14:textId="77777777" w:rsidR="00B4426D" w:rsidRPr="00EA4709" w:rsidRDefault="00B4426D" w:rsidP="00AA0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Food Sales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7AEC4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150,000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868BF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0.70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75587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105,000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91CB3" w14:textId="77777777" w:rsidR="00B4426D" w:rsidRPr="00EA4709" w:rsidRDefault="00B4426D" w:rsidP="00AA0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105,000</w:t>
            </w:r>
          </w:p>
        </w:tc>
      </w:tr>
    </w:tbl>
    <w:p w14:paraId="0F4DB8B0" w14:textId="77777777" w:rsidR="00B4426D" w:rsidRDefault="00B4426D" w:rsidP="00B4426D"/>
    <w:p w14:paraId="33B2E220" w14:textId="77777777" w:rsidR="00B4426D" w:rsidRDefault="00B4426D" w:rsidP="00B4426D">
      <w:r>
        <w:t xml:space="preserve">Calculation of NAV </w:t>
      </w:r>
    </w:p>
    <w:tbl>
      <w:tblPr>
        <w:tblW w:w="4145" w:type="dxa"/>
        <w:tblInd w:w="-5" w:type="dxa"/>
        <w:tblLook w:val="04A0" w:firstRow="1" w:lastRow="0" w:firstColumn="1" w:lastColumn="0" w:noHBand="0" w:noVBand="1"/>
      </w:tblPr>
      <w:tblGrid>
        <w:gridCol w:w="1561"/>
        <w:gridCol w:w="1292"/>
        <w:gridCol w:w="1292"/>
      </w:tblGrid>
      <w:tr w:rsidR="00B4426D" w:rsidRPr="00EA4709" w14:paraId="2E78B45A" w14:textId="77777777" w:rsidTr="00C65D69">
        <w:trPr>
          <w:trHeight w:val="24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A337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 xml:space="preserve">Adopt FMT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5AA8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CB9B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NAV</w:t>
            </w:r>
          </w:p>
        </w:tc>
      </w:tr>
      <w:tr w:rsidR="00B4426D" w:rsidRPr="00EA4709" w14:paraId="11733611" w14:textId="77777777" w:rsidTr="00C65D69">
        <w:trPr>
          <w:trHeight w:val="245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BFA1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280,000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62A6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5.5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4802" w14:textId="77777777" w:rsidR="00B4426D" w:rsidRPr="00EA4709" w:rsidRDefault="00B4426D" w:rsidP="00B442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15,400</w:t>
            </w:r>
          </w:p>
        </w:tc>
      </w:tr>
      <w:tr w:rsidR="00B4426D" w:rsidRPr="00EA4709" w14:paraId="7F40B069" w14:textId="77777777" w:rsidTr="00C65D69">
        <w:trPr>
          <w:trHeight w:val="245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ECA4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70,000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077A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9A21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3,500</w:t>
            </w:r>
          </w:p>
        </w:tc>
      </w:tr>
      <w:tr w:rsidR="00B4426D" w:rsidRPr="00EA4709" w14:paraId="60E2477C" w14:textId="77777777" w:rsidTr="00C65D69">
        <w:trPr>
          <w:trHeight w:val="245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CB6D6" w14:textId="77777777" w:rsidR="00B4426D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105,000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F11F9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3.5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15C63" w14:textId="77777777" w:rsidR="00B4426D" w:rsidRPr="00EA4709" w:rsidRDefault="00B4426D" w:rsidP="00E00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3,</w:t>
            </w:r>
            <w:r w:rsidR="00E00F94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675</w:t>
            </w:r>
          </w:p>
        </w:tc>
      </w:tr>
      <w:tr w:rsidR="00B4426D" w:rsidRPr="00EA4709" w14:paraId="01BFFC69" w14:textId="77777777" w:rsidTr="00C65D69">
        <w:trPr>
          <w:trHeight w:val="245"/>
        </w:trPr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5442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5D9D" w14:textId="77777777" w:rsidR="00B4426D" w:rsidRPr="00EA4709" w:rsidRDefault="00B4426D" w:rsidP="00AA0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272309E" w14:textId="77777777" w:rsidR="00B4426D" w:rsidRPr="00EA4709" w:rsidRDefault="00B4426D" w:rsidP="00E00F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£</w:t>
            </w:r>
            <w:r w:rsidR="00E00F94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,</w:t>
            </w:r>
            <w:r w:rsidR="00E00F94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40</w:t>
            </w:r>
            <w:r w:rsidRPr="00EA4709">
              <w:rPr>
                <w:rFonts w:ascii="Calibri" w:eastAsia="Times New Roman" w:hAnsi="Calibri" w:cs="Calibri"/>
                <w:color w:val="000000"/>
                <w:szCs w:val="22"/>
                <w:lang w:eastAsia="en-GB"/>
              </w:rPr>
              <w:t>0</w:t>
            </w:r>
          </w:p>
        </w:tc>
      </w:tr>
    </w:tbl>
    <w:p w14:paraId="3D4307E9" w14:textId="77777777" w:rsidR="00EA4709" w:rsidRDefault="00EA4709"/>
    <w:p w14:paraId="4F933F3A" w14:textId="77777777" w:rsidR="00EA4709" w:rsidRDefault="00EA4709"/>
    <w:p w14:paraId="5EED6CC9" w14:textId="77777777" w:rsidR="00EA4709" w:rsidRDefault="00EA4709"/>
    <w:p w14:paraId="55733741" w14:textId="77777777" w:rsidR="00BD5F5D" w:rsidRDefault="00BD5F5D" w:rsidP="00504196">
      <w:pPr>
        <w:rPr>
          <w:lang w:val="en-US"/>
        </w:rPr>
      </w:pPr>
    </w:p>
    <w:p w14:paraId="401BA975" w14:textId="77777777" w:rsidR="00BD5F5D" w:rsidRDefault="00BD5F5D" w:rsidP="00504196">
      <w:pPr>
        <w:rPr>
          <w:lang w:val="en-US"/>
        </w:rPr>
      </w:pPr>
    </w:p>
    <w:p w14:paraId="0040B61D" w14:textId="77777777" w:rsidR="00BD5F5D" w:rsidRDefault="00BD5F5D" w:rsidP="00504196">
      <w:pPr>
        <w:rPr>
          <w:lang w:val="en-US"/>
        </w:rPr>
      </w:pPr>
    </w:p>
    <w:p w14:paraId="4D972A63" w14:textId="77777777" w:rsidR="00BD5F5D" w:rsidRDefault="00BD5F5D" w:rsidP="00504196">
      <w:pPr>
        <w:rPr>
          <w:lang w:val="en-US"/>
        </w:rPr>
      </w:pPr>
    </w:p>
    <w:p w14:paraId="3B41E61E" w14:textId="77777777" w:rsidR="00BD5F5D" w:rsidRDefault="00BD5F5D" w:rsidP="00504196">
      <w:pPr>
        <w:rPr>
          <w:lang w:val="en-US"/>
        </w:rPr>
      </w:pPr>
    </w:p>
    <w:p w14:paraId="6A25E011" w14:textId="77777777" w:rsidR="007A1A4C" w:rsidRDefault="007A1A4C" w:rsidP="00504196">
      <w:pPr>
        <w:rPr>
          <w:b/>
          <w:lang w:val="en-US"/>
        </w:rPr>
      </w:pPr>
    </w:p>
    <w:p w14:paraId="4A11DDD7" w14:textId="77777777" w:rsidR="007A1A4C" w:rsidRDefault="007A1A4C" w:rsidP="00504196">
      <w:pPr>
        <w:rPr>
          <w:b/>
          <w:lang w:val="en-US"/>
        </w:rPr>
      </w:pPr>
    </w:p>
    <w:p w14:paraId="2A787000" w14:textId="77777777" w:rsidR="007A1A4C" w:rsidRDefault="007A1A4C" w:rsidP="00504196">
      <w:pPr>
        <w:rPr>
          <w:b/>
          <w:lang w:val="en-US"/>
        </w:rPr>
      </w:pPr>
    </w:p>
    <w:p w14:paraId="696D833E" w14:textId="77777777" w:rsidR="007A1A4C" w:rsidRDefault="007A1A4C" w:rsidP="00504196">
      <w:pPr>
        <w:rPr>
          <w:b/>
          <w:lang w:val="en-US"/>
        </w:rPr>
      </w:pPr>
    </w:p>
    <w:p w14:paraId="2950DA29" w14:textId="77777777" w:rsidR="007A1A4C" w:rsidRDefault="007A1A4C" w:rsidP="00504196">
      <w:pPr>
        <w:rPr>
          <w:b/>
          <w:lang w:val="en-US"/>
        </w:rPr>
      </w:pPr>
    </w:p>
    <w:p w14:paraId="1DCE1B4E" w14:textId="77777777" w:rsidR="007A1A4C" w:rsidRDefault="007A1A4C" w:rsidP="00504196">
      <w:pPr>
        <w:rPr>
          <w:b/>
          <w:lang w:val="en-US"/>
        </w:rPr>
      </w:pPr>
    </w:p>
    <w:p w14:paraId="06FA52F6" w14:textId="77777777" w:rsidR="007A1A4C" w:rsidRDefault="007A1A4C" w:rsidP="00504196">
      <w:pPr>
        <w:rPr>
          <w:b/>
          <w:lang w:val="en-US"/>
        </w:rPr>
      </w:pPr>
    </w:p>
    <w:p w14:paraId="4C4D4FC1" w14:textId="77777777" w:rsidR="007A1A4C" w:rsidRDefault="007A1A4C" w:rsidP="00504196">
      <w:pPr>
        <w:rPr>
          <w:b/>
          <w:lang w:val="en-US"/>
        </w:rPr>
      </w:pPr>
    </w:p>
    <w:p w14:paraId="4CF97548" w14:textId="77777777" w:rsidR="00C65D69" w:rsidRDefault="00C65D69">
      <w:pPr>
        <w:rPr>
          <w:b/>
          <w:lang w:val="en-US"/>
        </w:rPr>
      </w:pPr>
    </w:p>
    <w:p w14:paraId="191520A7" w14:textId="77777777" w:rsidR="00C65D69" w:rsidRDefault="00C65D69">
      <w:pPr>
        <w:rPr>
          <w:b/>
          <w:lang w:val="en-US"/>
        </w:rPr>
      </w:pPr>
    </w:p>
    <w:p w14:paraId="5A9263CF" w14:textId="77777777" w:rsidR="00C65D69" w:rsidRDefault="00C65D69">
      <w:pPr>
        <w:rPr>
          <w:b/>
          <w:lang w:val="en-US"/>
        </w:rPr>
      </w:pPr>
    </w:p>
    <w:p w14:paraId="3D0BDE6E" w14:textId="77777777" w:rsidR="00EA4709" w:rsidRDefault="007A1A4C">
      <w:r>
        <w:rPr>
          <w:b/>
          <w:lang w:val="en-US"/>
        </w:rPr>
        <w:t xml:space="preserve">This document is the property of LPS and should not be reproduced without the express permission of LPS. </w:t>
      </w:r>
      <w:r w:rsidR="00504196" w:rsidRPr="00C65D69">
        <w:rPr>
          <w:b/>
          <w:lang w:val="en-US"/>
        </w:rPr>
        <w:t xml:space="preserve">LPS reserves the right to amend </w:t>
      </w:r>
      <w:r w:rsidR="008C730E">
        <w:rPr>
          <w:b/>
          <w:lang w:val="en-US"/>
        </w:rPr>
        <w:t xml:space="preserve">the proposed approach for </w:t>
      </w:r>
      <w:proofErr w:type="spellStart"/>
      <w:r w:rsidR="008C730E">
        <w:rPr>
          <w:b/>
          <w:lang w:val="en-US"/>
        </w:rPr>
        <w:t>licenc</w:t>
      </w:r>
      <w:r w:rsidR="00504196" w:rsidRPr="00C65D69">
        <w:rPr>
          <w:b/>
          <w:lang w:val="en-US"/>
        </w:rPr>
        <w:t>ed</w:t>
      </w:r>
      <w:proofErr w:type="spellEnd"/>
      <w:r w:rsidR="00504196" w:rsidRPr="00C65D69">
        <w:rPr>
          <w:b/>
          <w:lang w:val="en-US"/>
        </w:rPr>
        <w:t xml:space="preserve"> premises in advance of the publication of the new Valuation List </w:t>
      </w:r>
      <w:r w:rsidR="00072C3C">
        <w:rPr>
          <w:b/>
          <w:lang w:val="en-US"/>
        </w:rPr>
        <w:t>should</w:t>
      </w:r>
      <w:r w:rsidR="00504196" w:rsidRPr="00C65D69">
        <w:rPr>
          <w:b/>
          <w:lang w:val="en-US"/>
        </w:rPr>
        <w:t xml:space="preserve"> further market </w:t>
      </w:r>
      <w:r w:rsidR="003867FE">
        <w:rPr>
          <w:b/>
          <w:lang w:val="en-US"/>
        </w:rPr>
        <w:t xml:space="preserve">or other </w:t>
      </w:r>
      <w:r w:rsidR="00E10912">
        <w:rPr>
          <w:b/>
          <w:lang w:val="en-US"/>
        </w:rPr>
        <w:t xml:space="preserve">evidence </w:t>
      </w:r>
      <w:r w:rsidR="00504196" w:rsidRPr="00C65D69">
        <w:rPr>
          <w:b/>
          <w:lang w:val="en-US"/>
        </w:rPr>
        <w:t>becom</w:t>
      </w:r>
      <w:r w:rsidR="00072C3C">
        <w:rPr>
          <w:b/>
          <w:lang w:val="en-US"/>
        </w:rPr>
        <w:t>e</w:t>
      </w:r>
      <w:r w:rsidR="00504196" w:rsidRPr="00C65D69">
        <w:rPr>
          <w:b/>
          <w:lang w:val="en-US"/>
        </w:rPr>
        <w:t xml:space="preserve"> available.</w:t>
      </w:r>
    </w:p>
    <w:sectPr w:rsidR="00EA4709" w:rsidSect="00FC6FBA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11DA0" w14:textId="77777777" w:rsidR="005C4AFE" w:rsidRDefault="005C4AFE" w:rsidP="00EA4709">
      <w:pPr>
        <w:spacing w:after="0" w:line="240" w:lineRule="auto"/>
      </w:pPr>
      <w:r>
        <w:separator/>
      </w:r>
    </w:p>
  </w:endnote>
  <w:endnote w:type="continuationSeparator" w:id="0">
    <w:p w14:paraId="19408F00" w14:textId="77777777" w:rsidR="005C4AFE" w:rsidRDefault="005C4AFE" w:rsidP="00EA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61672419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6326F83" w14:textId="77777777" w:rsidR="00EA4709" w:rsidRPr="00EA4709" w:rsidRDefault="00EA4709">
            <w:pPr>
              <w:pStyle w:val="Footer"/>
              <w:jc w:val="right"/>
              <w:rPr>
                <w:sz w:val="20"/>
                <w:szCs w:val="20"/>
              </w:rPr>
            </w:pPr>
            <w:r w:rsidRPr="00EA4709">
              <w:rPr>
                <w:sz w:val="20"/>
                <w:szCs w:val="20"/>
              </w:rPr>
              <w:t xml:space="preserve">Page </w:t>
            </w:r>
            <w:r w:rsidRPr="00EA4709">
              <w:rPr>
                <w:bCs/>
                <w:sz w:val="20"/>
                <w:szCs w:val="20"/>
              </w:rPr>
              <w:fldChar w:fldCharType="begin"/>
            </w:r>
            <w:r w:rsidRPr="00EA4709">
              <w:rPr>
                <w:bCs/>
                <w:sz w:val="20"/>
                <w:szCs w:val="20"/>
              </w:rPr>
              <w:instrText xml:space="preserve"> PAGE </w:instrText>
            </w:r>
            <w:r w:rsidRPr="00EA4709">
              <w:rPr>
                <w:bCs/>
                <w:sz w:val="20"/>
                <w:szCs w:val="20"/>
              </w:rPr>
              <w:fldChar w:fldCharType="separate"/>
            </w:r>
            <w:r w:rsidR="00A105CE">
              <w:rPr>
                <w:bCs/>
                <w:noProof/>
                <w:sz w:val="20"/>
                <w:szCs w:val="20"/>
              </w:rPr>
              <w:t>2</w:t>
            </w:r>
            <w:r w:rsidRPr="00EA4709">
              <w:rPr>
                <w:bCs/>
                <w:sz w:val="20"/>
                <w:szCs w:val="20"/>
              </w:rPr>
              <w:fldChar w:fldCharType="end"/>
            </w:r>
            <w:r w:rsidRPr="00EA4709">
              <w:rPr>
                <w:sz w:val="20"/>
                <w:szCs w:val="20"/>
              </w:rPr>
              <w:t xml:space="preserve"> of </w:t>
            </w:r>
            <w:r w:rsidRPr="00EA4709">
              <w:rPr>
                <w:bCs/>
                <w:sz w:val="20"/>
                <w:szCs w:val="20"/>
              </w:rPr>
              <w:fldChar w:fldCharType="begin"/>
            </w:r>
            <w:r w:rsidRPr="00EA4709">
              <w:rPr>
                <w:bCs/>
                <w:sz w:val="20"/>
                <w:szCs w:val="20"/>
              </w:rPr>
              <w:instrText xml:space="preserve"> NUMPAGES  </w:instrText>
            </w:r>
            <w:r w:rsidRPr="00EA4709">
              <w:rPr>
                <w:bCs/>
                <w:sz w:val="20"/>
                <w:szCs w:val="20"/>
              </w:rPr>
              <w:fldChar w:fldCharType="separate"/>
            </w:r>
            <w:r w:rsidR="00A105CE">
              <w:rPr>
                <w:bCs/>
                <w:noProof/>
                <w:sz w:val="20"/>
                <w:szCs w:val="20"/>
              </w:rPr>
              <w:t>5</w:t>
            </w:r>
            <w:r w:rsidRPr="00EA470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7ECB6AC" w14:textId="77777777" w:rsidR="00EA4709" w:rsidRDefault="00FC6FBA" w:rsidP="00FC6FBA">
    <w:pPr>
      <w:pStyle w:val="Footer"/>
      <w:tabs>
        <w:tab w:val="clear" w:pos="4513"/>
        <w:tab w:val="clear" w:pos="9026"/>
        <w:tab w:val="left" w:pos="5952"/>
      </w:tabs>
    </w:pPr>
    <w:r w:rsidRPr="00FC6FBA">
      <w:rPr>
        <w:noProof/>
        <w:lang w:eastAsia="en-GB"/>
      </w:rPr>
      <w:drawing>
        <wp:inline distT="0" distB="0" distL="0" distR="0" wp14:anchorId="6640C357" wp14:editId="5D92D26C">
          <wp:extent cx="2430780" cy="504387"/>
          <wp:effectExtent l="0" t="0" r="7620" b="0"/>
          <wp:docPr id="1" name="Picture 1" descr="C:\Users\0588324\Desktop\New LPS Logo Saved as Pic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588324\Desktop\New LPS Logo Saved as Pictu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262" cy="511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en-GB"/>
      </w:rPr>
      <w:drawing>
        <wp:inline distT="0" distB="0" distL="0" distR="0" wp14:anchorId="649F4FB3" wp14:editId="4EC17765">
          <wp:extent cx="1013460" cy="73152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0E665" w14:textId="77777777" w:rsidR="005C4AFE" w:rsidRDefault="005C4AFE" w:rsidP="00EA4709">
      <w:pPr>
        <w:spacing w:after="0" w:line="240" w:lineRule="auto"/>
      </w:pPr>
      <w:r>
        <w:separator/>
      </w:r>
    </w:p>
  </w:footnote>
  <w:footnote w:type="continuationSeparator" w:id="0">
    <w:p w14:paraId="0C60F6C3" w14:textId="77777777" w:rsidR="005C4AFE" w:rsidRDefault="005C4AFE" w:rsidP="00EA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CDE38" w14:textId="77777777" w:rsidR="00EA4709" w:rsidRPr="00643DCF" w:rsidRDefault="00EA4709" w:rsidP="00EA4709">
    <w:pPr>
      <w:pStyle w:val="Header"/>
      <w:tabs>
        <w:tab w:val="clear" w:pos="4513"/>
        <w:tab w:val="center" w:pos="7740"/>
      </w:tabs>
      <w:rPr>
        <w:b/>
      </w:rPr>
    </w:pPr>
    <w:proofErr w:type="spellStart"/>
    <w:r w:rsidRPr="00643DCF">
      <w:rPr>
        <w:b/>
      </w:rPr>
      <w:t>Reval</w:t>
    </w:r>
    <w:proofErr w:type="spellEnd"/>
    <w:r w:rsidRPr="00643DCF">
      <w:rPr>
        <w:b/>
      </w:rPr>
      <w:t xml:space="preserve"> 2023 </w:t>
    </w:r>
    <w:r w:rsidR="00536C2E" w:rsidRPr="00643DCF">
      <w:rPr>
        <w:b/>
      </w:rPr>
      <w:t>Licen</w:t>
    </w:r>
    <w:r w:rsidR="006B7A76">
      <w:rPr>
        <w:b/>
      </w:rPr>
      <w:t>s</w:t>
    </w:r>
    <w:r w:rsidR="00536C2E" w:rsidRPr="00643DCF">
      <w:rPr>
        <w:b/>
      </w:rPr>
      <w:t>ed Premises proposed approach</w:t>
    </w:r>
    <w:r w:rsidR="006B07A0" w:rsidRPr="00643DCF">
      <w:rPr>
        <w:b/>
      </w:rPr>
      <w:t xml:space="preserve"> – June 2022</w:t>
    </w:r>
    <w:r w:rsidRPr="00643DCF">
      <w:rPr>
        <w:b/>
      </w:rPr>
      <w:tab/>
    </w:r>
    <w:r w:rsidRPr="00643DCF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D90"/>
    <w:multiLevelType w:val="hybridMultilevel"/>
    <w:tmpl w:val="538A32F6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85019"/>
    <w:multiLevelType w:val="hybridMultilevel"/>
    <w:tmpl w:val="46EC5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2019"/>
    <w:multiLevelType w:val="hybridMultilevel"/>
    <w:tmpl w:val="13A4C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90C56"/>
    <w:multiLevelType w:val="hybridMultilevel"/>
    <w:tmpl w:val="CF5EB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176CD"/>
    <w:multiLevelType w:val="hybridMultilevel"/>
    <w:tmpl w:val="F3EC46DA"/>
    <w:lvl w:ilvl="0" w:tplc="907EC48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6731AE"/>
    <w:multiLevelType w:val="hybridMultilevel"/>
    <w:tmpl w:val="29CE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C08CB"/>
    <w:multiLevelType w:val="hybridMultilevel"/>
    <w:tmpl w:val="09D8D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2359E"/>
    <w:multiLevelType w:val="hybridMultilevel"/>
    <w:tmpl w:val="4F7A6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E3060"/>
    <w:multiLevelType w:val="hybridMultilevel"/>
    <w:tmpl w:val="13F88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906F9"/>
    <w:multiLevelType w:val="hybridMultilevel"/>
    <w:tmpl w:val="EF94B532"/>
    <w:lvl w:ilvl="0" w:tplc="095EAEA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01177168">
    <w:abstractNumId w:val="4"/>
  </w:num>
  <w:num w:numId="2" w16cid:durableId="720206973">
    <w:abstractNumId w:val="6"/>
  </w:num>
  <w:num w:numId="3" w16cid:durableId="184292768">
    <w:abstractNumId w:val="9"/>
  </w:num>
  <w:num w:numId="4" w16cid:durableId="1135223979">
    <w:abstractNumId w:val="0"/>
  </w:num>
  <w:num w:numId="5" w16cid:durableId="1507592291">
    <w:abstractNumId w:val="3"/>
  </w:num>
  <w:num w:numId="6" w16cid:durableId="1536650942">
    <w:abstractNumId w:val="1"/>
  </w:num>
  <w:num w:numId="7" w16cid:durableId="2018920489">
    <w:abstractNumId w:val="5"/>
  </w:num>
  <w:num w:numId="8" w16cid:durableId="2078093979">
    <w:abstractNumId w:val="7"/>
  </w:num>
  <w:num w:numId="9" w16cid:durableId="233246784">
    <w:abstractNumId w:val="2"/>
  </w:num>
  <w:num w:numId="10" w16cid:durableId="97608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83"/>
    <w:rsid w:val="00004D47"/>
    <w:rsid w:val="00005CCF"/>
    <w:rsid w:val="000241ED"/>
    <w:rsid w:val="00072C3C"/>
    <w:rsid w:val="000D4BDB"/>
    <w:rsid w:val="00110A06"/>
    <w:rsid w:val="00114EDE"/>
    <w:rsid w:val="001C0BB7"/>
    <w:rsid w:val="00201DE2"/>
    <w:rsid w:val="00203972"/>
    <w:rsid w:val="00273C95"/>
    <w:rsid w:val="002D6811"/>
    <w:rsid w:val="002F1C83"/>
    <w:rsid w:val="00334101"/>
    <w:rsid w:val="00342B9B"/>
    <w:rsid w:val="0035282A"/>
    <w:rsid w:val="003661F8"/>
    <w:rsid w:val="00372246"/>
    <w:rsid w:val="003867FE"/>
    <w:rsid w:val="004B705A"/>
    <w:rsid w:val="00504196"/>
    <w:rsid w:val="00536C2E"/>
    <w:rsid w:val="00593A9C"/>
    <w:rsid w:val="005C4AFE"/>
    <w:rsid w:val="006319E0"/>
    <w:rsid w:val="00643DCF"/>
    <w:rsid w:val="006B07A0"/>
    <w:rsid w:val="006B7A76"/>
    <w:rsid w:val="007A1A4C"/>
    <w:rsid w:val="00855F3C"/>
    <w:rsid w:val="008871C0"/>
    <w:rsid w:val="008C730E"/>
    <w:rsid w:val="00933347"/>
    <w:rsid w:val="00957FE7"/>
    <w:rsid w:val="009807B5"/>
    <w:rsid w:val="00A105CE"/>
    <w:rsid w:val="00A43A64"/>
    <w:rsid w:val="00B17E91"/>
    <w:rsid w:val="00B4426D"/>
    <w:rsid w:val="00B5716C"/>
    <w:rsid w:val="00B87526"/>
    <w:rsid w:val="00BB3DC5"/>
    <w:rsid w:val="00BD5F5D"/>
    <w:rsid w:val="00BF5A62"/>
    <w:rsid w:val="00C34857"/>
    <w:rsid w:val="00C65D69"/>
    <w:rsid w:val="00D71781"/>
    <w:rsid w:val="00DE3CF1"/>
    <w:rsid w:val="00DE63A2"/>
    <w:rsid w:val="00E00F94"/>
    <w:rsid w:val="00E10912"/>
    <w:rsid w:val="00E42656"/>
    <w:rsid w:val="00E911FD"/>
    <w:rsid w:val="00EA4709"/>
    <w:rsid w:val="00EF1A9C"/>
    <w:rsid w:val="00EF4CE1"/>
    <w:rsid w:val="00EF5CC7"/>
    <w:rsid w:val="00FC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F99DA"/>
  <w15:chartTrackingRefBased/>
  <w15:docId w15:val="{75579A2B-F771-4261-A3A1-842B7756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709"/>
  </w:style>
  <w:style w:type="paragraph" w:styleId="Footer">
    <w:name w:val="footer"/>
    <w:basedOn w:val="Normal"/>
    <w:link w:val="FooterChar"/>
    <w:uiPriority w:val="99"/>
    <w:unhideWhenUsed/>
    <w:rsid w:val="00EA47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709"/>
  </w:style>
  <w:style w:type="paragraph" w:styleId="ListParagraph">
    <w:name w:val="List Paragraph"/>
    <w:basedOn w:val="Normal"/>
    <w:uiPriority w:val="34"/>
    <w:qFormat/>
    <w:rsid w:val="00EA4709"/>
    <w:pPr>
      <w:ind w:left="720"/>
      <w:contextualSpacing/>
    </w:pPr>
    <w:rPr>
      <w:rFonts w:ascii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FC38C231F6743A4127256A282BF2A" ma:contentTypeVersion="12" ma:contentTypeDescription="Create a new document." ma:contentTypeScope="" ma:versionID="9f8a15727ddb613929055e3e064741b4">
  <xsd:schema xmlns:xsd="http://www.w3.org/2001/XMLSchema" xmlns:xs="http://www.w3.org/2001/XMLSchema" xmlns:p="http://schemas.microsoft.com/office/2006/metadata/properties" xmlns:ns2="b23e2baf-b944-4e6d-95e8-c42f3bc4a80b" xmlns:ns3="882dc0ee-c0f4-4ba6-a9b5-a1093e6538e7" targetNamespace="http://schemas.microsoft.com/office/2006/metadata/properties" ma:root="true" ma:fieldsID="fdfab7d73597fef44e0e04874e1d46c2" ns2:_="" ns3:_="">
    <xsd:import namespace="b23e2baf-b944-4e6d-95e8-c42f3bc4a80b"/>
    <xsd:import namespace="882dc0ee-c0f4-4ba6-a9b5-a1093e653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e2baf-b944-4e6d-95e8-c42f3bc4a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37483d0-50f2-4f43-a0cd-e947bad54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dc0ee-c0f4-4ba6-a9b5-a1093e6538e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7cced3-e00b-47f8-be6b-1e55ef73d924}" ma:internalName="TaxCatchAll" ma:showField="CatchAllData" ma:web="882dc0ee-c0f4-4ba6-a9b5-a1093e65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e2baf-b944-4e6d-95e8-c42f3bc4a80b">
      <Terms xmlns="http://schemas.microsoft.com/office/infopath/2007/PartnerControls"/>
    </lcf76f155ced4ddcb4097134ff3c332f>
    <TaxCatchAll xmlns="882dc0ee-c0f4-4ba6-a9b5-a1093e6538e7" xsi:nil="true"/>
  </documentManagement>
</p:properties>
</file>

<file path=customXml/itemProps1.xml><?xml version="1.0" encoding="utf-8"?>
<ds:datastoreItem xmlns:ds="http://schemas.openxmlformats.org/officeDocument/2006/customXml" ds:itemID="{BDF511DE-D5B0-4F29-A03B-20BB24942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87CAB9-FED7-4DD5-BCAB-AA5BCD444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e2baf-b944-4e6d-95e8-c42f3bc4a80b"/>
    <ds:schemaRef ds:uri="882dc0ee-c0f4-4ba6-a9b5-a1093e653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61B82A-D848-4C99-9889-4180547C3A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5A762-20CA-4333-BD99-2F54DE248230}">
  <ds:schemaRefs>
    <ds:schemaRef ds:uri="http://schemas.microsoft.com/office/2006/metadata/properties"/>
    <ds:schemaRef ds:uri="http://schemas.microsoft.com/office/infopath/2007/PartnerControls"/>
    <ds:schemaRef ds:uri="b23e2baf-b944-4e6d-95e8-c42f3bc4a80b"/>
    <ds:schemaRef ds:uri="882dc0ee-c0f4-4ba6-a9b5-a1093e6538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Humphrey, Gary</dc:creator>
  <cp:keywords/>
  <dc:description/>
  <cp:lastModifiedBy>Colin Neill</cp:lastModifiedBy>
  <cp:revision>2</cp:revision>
  <cp:lastPrinted>2022-06-15T12:02:00Z</cp:lastPrinted>
  <dcterms:created xsi:type="dcterms:W3CDTF">2022-07-28T15:38:00Z</dcterms:created>
  <dcterms:modified xsi:type="dcterms:W3CDTF">2022-07-28T15:38:00Z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0x010100FCFFC38C231F6743A4127256A282BF2A</vt:lpwstr>
  </property>
</Properties>
</file>